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9CC4" w14:textId="1656411D" w:rsidR="00F96C31" w:rsidRPr="005A191D" w:rsidRDefault="005A191D" w:rsidP="005A191D">
      <w:pPr>
        <w:widowControl w:val="0"/>
        <w:pBdr>
          <w:top w:val="nil"/>
          <w:left w:val="nil"/>
          <w:bottom w:val="nil"/>
          <w:right w:val="nil"/>
          <w:between w:val="nil"/>
        </w:pBdr>
        <w:spacing w:after="0"/>
        <w:jc w:val="center"/>
        <w:rPr>
          <w:rFonts w:ascii="Arial" w:eastAsia="Arial" w:hAnsi="Arial" w:cs="Arial"/>
          <w:b/>
          <w:bCs/>
          <w:color w:val="000000"/>
        </w:rPr>
      </w:pPr>
      <w:r w:rsidRPr="005A191D">
        <w:rPr>
          <w:rFonts w:ascii="Arial" w:eastAsia="Arial" w:hAnsi="Arial" w:cs="Arial"/>
          <w:b/>
          <w:bCs/>
          <w:color w:val="000000"/>
        </w:rPr>
        <w:t>2021 CoC Bonus Scoring Project Guide for Reviewers</w:t>
      </w:r>
    </w:p>
    <w:p w14:paraId="060CA245" w14:textId="77777777" w:rsidR="005A191D" w:rsidRDefault="005A191D" w:rsidP="005A191D">
      <w:pPr>
        <w:widowControl w:val="0"/>
        <w:pBdr>
          <w:top w:val="nil"/>
          <w:left w:val="nil"/>
          <w:bottom w:val="nil"/>
          <w:right w:val="nil"/>
          <w:between w:val="nil"/>
        </w:pBdr>
        <w:spacing w:after="0"/>
        <w:jc w:val="center"/>
        <w:rPr>
          <w:rFonts w:ascii="Arial" w:eastAsia="Arial" w:hAnsi="Arial" w:cs="Arial"/>
          <w:color w:val="000000"/>
        </w:rPr>
      </w:pPr>
    </w:p>
    <w:tbl>
      <w:tblPr>
        <w:tblStyle w:val="a"/>
        <w:tblW w:w="11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8843"/>
      </w:tblGrid>
      <w:tr w:rsidR="00F96C31" w14:paraId="055BD7AB" w14:textId="77777777">
        <w:tc>
          <w:tcPr>
            <w:tcW w:w="2808" w:type="dxa"/>
            <w:tcBorders>
              <w:top w:val="nil"/>
              <w:left w:val="nil"/>
              <w:bottom w:val="nil"/>
            </w:tcBorders>
          </w:tcPr>
          <w:p w14:paraId="02BED89C" w14:textId="77777777" w:rsidR="00F96C31" w:rsidRDefault="00C14EE5">
            <w:pPr>
              <w:pBdr>
                <w:top w:val="nil"/>
                <w:left w:val="nil"/>
                <w:bottom w:val="nil"/>
                <w:right w:val="nil"/>
                <w:between w:val="nil"/>
              </w:pBdr>
              <w:rPr>
                <w:b/>
                <w:color w:val="000000"/>
                <w:sz w:val="24"/>
                <w:szCs w:val="24"/>
              </w:rPr>
            </w:pPr>
            <w:r>
              <w:rPr>
                <w:b/>
                <w:color w:val="000000"/>
                <w:sz w:val="24"/>
                <w:szCs w:val="24"/>
              </w:rPr>
              <w:t>Name of Agency Project:</w:t>
            </w:r>
          </w:p>
        </w:tc>
        <w:tc>
          <w:tcPr>
            <w:tcW w:w="8843" w:type="dxa"/>
          </w:tcPr>
          <w:p w14:paraId="6E887E22" w14:textId="5BDC86FE" w:rsidR="00F96C31" w:rsidRDefault="00F96C31">
            <w:pPr>
              <w:pBdr>
                <w:top w:val="nil"/>
                <w:left w:val="nil"/>
                <w:bottom w:val="nil"/>
                <w:right w:val="nil"/>
                <w:between w:val="nil"/>
              </w:pBdr>
              <w:rPr>
                <w:color w:val="000000"/>
                <w:sz w:val="24"/>
                <w:szCs w:val="24"/>
              </w:rPr>
            </w:pPr>
          </w:p>
        </w:tc>
      </w:tr>
      <w:tr w:rsidR="00F96C31" w14:paraId="5CE5AE27" w14:textId="77777777">
        <w:tc>
          <w:tcPr>
            <w:tcW w:w="2808" w:type="dxa"/>
            <w:tcBorders>
              <w:top w:val="nil"/>
              <w:left w:val="nil"/>
              <w:bottom w:val="nil"/>
            </w:tcBorders>
          </w:tcPr>
          <w:p w14:paraId="2F6D6229" w14:textId="77777777" w:rsidR="00F96C31" w:rsidRDefault="00C14EE5">
            <w:pPr>
              <w:pBdr>
                <w:top w:val="nil"/>
                <w:left w:val="nil"/>
                <w:bottom w:val="nil"/>
                <w:right w:val="nil"/>
                <w:between w:val="nil"/>
              </w:pBdr>
              <w:rPr>
                <w:b/>
                <w:color w:val="000000"/>
                <w:sz w:val="24"/>
                <w:szCs w:val="24"/>
              </w:rPr>
            </w:pPr>
            <w:r>
              <w:rPr>
                <w:b/>
                <w:color w:val="000000"/>
                <w:sz w:val="24"/>
                <w:szCs w:val="24"/>
              </w:rPr>
              <w:t>Name of Reviewer:</w:t>
            </w:r>
          </w:p>
        </w:tc>
        <w:tc>
          <w:tcPr>
            <w:tcW w:w="8843" w:type="dxa"/>
          </w:tcPr>
          <w:p w14:paraId="125B8ABA" w14:textId="77777777" w:rsidR="00F96C31" w:rsidRDefault="00F96C31">
            <w:pPr>
              <w:pBdr>
                <w:top w:val="nil"/>
                <w:left w:val="nil"/>
                <w:bottom w:val="nil"/>
                <w:right w:val="nil"/>
                <w:between w:val="nil"/>
              </w:pBdr>
              <w:rPr>
                <w:color w:val="000000"/>
                <w:sz w:val="24"/>
                <w:szCs w:val="24"/>
              </w:rPr>
            </w:pPr>
          </w:p>
        </w:tc>
      </w:tr>
    </w:tbl>
    <w:p w14:paraId="7256EAED" w14:textId="77777777" w:rsidR="00F96C31" w:rsidRDefault="00F96C31">
      <w:pPr>
        <w:pBdr>
          <w:top w:val="nil"/>
          <w:left w:val="nil"/>
          <w:bottom w:val="nil"/>
          <w:right w:val="nil"/>
          <w:between w:val="nil"/>
        </w:pBdr>
        <w:spacing w:after="0" w:line="240" w:lineRule="auto"/>
        <w:rPr>
          <w:color w:val="000000"/>
          <w:sz w:val="24"/>
          <w:szCs w:val="24"/>
        </w:rPr>
      </w:pPr>
    </w:p>
    <w:p w14:paraId="24062AA7" w14:textId="1E70303D" w:rsidR="00EF1CB5" w:rsidRDefault="00C14EE5">
      <w:pPr>
        <w:pBdr>
          <w:top w:val="nil"/>
          <w:left w:val="nil"/>
          <w:bottom w:val="nil"/>
          <w:right w:val="nil"/>
          <w:between w:val="nil"/>
        </w:pBdr>
        <w:spacing w:after="0" w:line="240" w:lineRule="auto"/>
        <w:rPr>
          <w:color w:val="000000"/>
        </w:rPr>
      </w:pPr>
      <w:r>
        <w:rPr>
          <w:color w:val="000000"/>
        </w:rPr>
        <w:t>Continuum of Care (CoC) FY 20</w:t>
      </w:r>
      <w:r w:rsidR="004D2DA9">
        <w:rPr>
          <w:color w:val="000000"/>
        </w:rPr>
        <w:t>21</w:t>
      </w:r>
      <w:r>
        <w:rPr>
          <w:color w:val="000000"/>
        </w:rPr>
        <w:t xml:space="preserve"> new projects will be reviewed by the San Bernardino County Interagency Council on Homelessness (ICH)</w:t>
      </w:r>
      <w:r w:rsidR="00EE502E">
        <w:rPr>
          <w:color w:val="000000"/>
        </w:rPr>
        <w:t xml:space="preserve"> </w:t>
      </w:r>
      <w:r w:rsidR="00EE502E" w:rsidRPr="00B93805">
        <w:t>Grant Review Committee (GRC)</w:t>
      </w:r>
      <w:r>
        <w:rPr>
          <w:color w:val="000000"/>
        </w:rPr>
        <w:t xml:space="preserve">. All projects will be </w:t>
      </w:r>
      <w:r w:rsidR="00EE502E" w:rsidRPr="00B93805">
        <w:t xml:space="preserve">presented to the full ICH Board for final review and approval </w:t>
      </w:r>
      <w:r>
        <w:rPr>
          <w:color w:val="000000"/>
        </w:rPr>
        <w:t xml:space="preserve">for recommendation to the </w:t>
      </w:r>
      <w:r w:rsidR="00C76A8B">
        <w:rPr>
          <w:color w:val="000000"/>
        </w:rPr>
        <w:t>United States</w:t>
      </w:r>
      <w:r w:rsidR="00EE502E">
        <w:rPr>
          <w:color w:val="000000"/>
        </w:rPr>
        <w:t xml:space="preserve"> Department of</w:t>
      </w:r>
      <w:r w:rsidR="00C76A8B">
        <w:rPr>
          <w:color w:val="000000"/>
        </w:rPr>
        <w:t xml:space="preserve"> Housing and Urban Development (HUD) </w:t>
      </w:r>
      <w:r>
        <w:rPr>
          <w:color w:val="000000"/>
        </w:rPr>
        <w:t xml:space="preserve">based on the following: </w:t>
      </w:r>
    </w:p>
    <w:p w14:paraId="00E1CEB3" w14:textId="77777777" w:rsidR="00F96C31" w:rsidRDefault="00F96C31">
      <w:pPr>
        <w:pBdr>
          <w:top w:val="nil"/>
          <w:left w:val="nil"/>
          <w:bottom w:val="nil"/>
          <w:right w:val="nil"/>
          <w:between w:val="nil"/>
        </w:pBdr>
        <w:spacing w:after="0" w:line="240" w:lineRule="auto"/>
        <w:rPr>
          <w:color w:val="000000"/>
        </w:rPr>
      </w:pPr>
    </w:p>
    <w:tbl>
      <w:tblPr>
        <w:tblStyle w:val="a0"/>
        <w:tblW w:w="1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590"/>
        <w:gridCol w:w="2363"/>
      </w:tblGrid>
      <w:tr w:rsidR="00F96C31" w14:paraId="1A53A8D9" w14:textId="77777777">
        <w:tc>
          <w:tcPr>
            <w:tcW w:w="9180" w:type="dxa"/>
            <w:gridSpan w:val="2"/>
            <w:tcBorders>
              <w:top w:val="single" w:sz="4" w:space="0" w:color="000000"/>
              <w:left w:val="single" w:sz="4" w:space="0" w:color="000000"/>
              <w:right w:val="single" w:sz="4" w:space="0" w:color="000000"/>
            </w:tcBorders>
          </w:tcPr>
          <w:p w14:paraId="71C3517C" w14:textId="50F76070" w:rsidR="00F96C31" w:rsidRDefault="00C14EE5">
            <w:pPr>
              <w:pBdr>
                <w:top w:val="nil"/>
                <w:left w:val="nil"/>
                <w:bottom w:val="nil"/>
                <w:right w:val="nil"/>
                <w:between w:val="nil"/>
              </w:pBdr>
              <w:rPr>
                <w:color w:val="000000"/>
              </w:rPr>
            </w:pPr>
            <w:r>
              <w:rPr>
                <w:b/>
                <w:color w:val="000000"/>
              </w:rPr>
              <w:t>A.</w:t>
            </w:r>
            <w:r w:rsidR="00EE502E">
              <w:rPr>
                <w:b/>
                <w:color w:val="000000"/>
              </w:rPr>
              <w:t xml:space="preserve"> </w:t>
            </w:r>
            <w:r>
              <w:rPr>
                <w:b/>
                <w:color w:val="000000"/>
              </w:rPr>
              <w:t xml:space="preserve"> </w:t>
            </w:r>
            <w:bookmarkStart w:id="0" w:name="_GoBack"/>
            <w:bookmarkEnd w:id="0"/>
            <w:commentRangeStart w:id="1"/>
            <w:commentRangeEnd w:id="1"/>
            <w:r w:rsidR="005D2E65">
              <w:rPr>
                <w:b/>
                <w:color w:val="000000"/>
              </w:rPr>
              <w:t xml:space="preserve">Experience and </w:t>
            </w:r>
            <w:r w:rsidR="001C31FC">
              <w:rPr>
                <w:b/>
                <w:color w:val="000000"/>
              </w:rPr>
              <w:t>Capacity (</w:t>
            </w:r>
            <w:r w:rsidR="00AC5084">
              <w:rPr>
                <w:b/>
                <w:color w:val="000000"/>
              </w:rPr>
              <w:t>30</w:t>
            </w:r>
            <w:r>
              <w:rPr>
                <w:b/>
                <w:color w:val="000000"/>
              </w:rPr>
              <w:t xml:space="preserve"> points) </w:t>
            </w:r>
          </w:p>
        </w:tc>
        <w:tc>
          <w:tcPr>
            <w:tcW w:w="2363" w:type="dxa"/>
            <w:tcBorders>
              <w:top w:val="single" w:sz="4" w:space="0" w:color="000000"/>
              <w:left w:val="single" w:sz="4" w:space="0" w:color="000000"/>
              <w:right w:val="single" w:sz="4" w:space="0" w:color="000000"/>
            </w:tcBorders>
          </w:tcPr>
          <w:p w14:paraId="6D1A058B" w14:textId="77777777" w:rsidR="00F96C31" w:rsidRDefault="00C14EE5">
            <w:pPr>
              <w:pBdr>
                <w:top w:val="nil"/>
                <w:left w:val="nil"/>
                <w:bottom w:val="nil"/>
                <w:right w:val="nil"/>
                <w:between w:val="nil"/>
              </w:pBdr>
              <w:spacing w:after="21"/>
              <w:jc w:val="center"/>
              <w:rPr>
                <w:b/>
                <w:color w:val="000000"/>
              </w:rPr>
            </w:pPr>
            <w:r>
              <w:rPr>
                <w:b/>
                <w:color w:val="000000"/>
              </w:rPr>
              <w:t>Points</w:t>
            </w:r>
          </w:p>
        </w:tc>
      </w:tr>
      <w:tr w:rsidR="005D2E65" w14:paraId="75DD8FD1" w14:textId="77777777">
        <w:tc>
          <w:tcPr>
            <w:tcW w:w="9180" w:type="dxa"/>
            <w:gridSpan w:val="2"/>
          </w:tcPr>
          <w:p w14:paraId="342973BE" w14:textId="7E518B92" w:rsidR="005D2E65" w:rsidRPr="008073A9" w:rsidRDefault="005D2E65" w:rsidP="00A40A3E">
            <w:pPr>
              <w:numPr>
                <w:ilvl w:val="0"/>
                <w:numId w:val="10"/>
              </w:numPr>
              <w:pBdr>
                <w:top w:val="nil"/>
                <w:left w:val="nil"/>
                <w:bottom w:val="nil"/>
                <w:right w:val="nil"/>
                <w:between w:val="nil"/>
              </w:pBdr>
              <w:spacing w:after="21"/>
              <w:rPr>
                <w:color w:val="000000"/>
              </w:rPr>
            </w:pPr>
            <w:r>
              <w:rPr>
                <w:color w:val="000000"/>
              </w:rPr>
              <w:t>Applicants that demonstrate a partnership between housing, healthcare, and supportive service providers to expand housing options, such as permanent supportive housing, housing subsidies, and rapid re-housing.</w:t>
            </w:r>
          </w:p>
        </w:tc>
        <w:tc>
          <w:tcPr>
            <w:tcW w:w="2363" w:type="dxa"/>
          </w:tcPr>
          <w:p w14:paraId="354A1392" w14:textId="77777777" w:rsidR="005D2E65" w:rsidRDefault="005D2E65">
            <w:pPr>
              <w:pBdr>
                <w:top w:val="nil"/>
                <w:left w:val="nil"/>
                <w:bottom w:val="nil"/>
                <w:right w:val="nil"/>
                <w:between w:val="nil"/>
              </w:pBdr>
              <w:spacing w:after="21"/>
              <w:rPr>
                <w:color w:val="000000"/>
              </w:rPr>
            </w:pPr>
          </w:p>
        </w:tc>
      </w:tr>
      <w:tr w:rsidR="00F96C31" w14:paraId="2297E281" w14:textId="77777777">
        <w:tc>
          <w:tcPr>
            <w:tcW w:w="9180" w:type="dxa"/>
            <w:gridSpan w:val="2"/>
          </w:tcPr>
          <w:p w14:paraId="16815058" w14:textId="3DB0EA4A" w:rsidR="00F96C31" w:rsidRDefault="008073A9" w:rsidP="00A40A3E">
            <w:pPr>
              <w:numPr>
                <w:ilvl w:val="0"/>
                <w:numId w:val="10"/>
              </w:numPr>
              <w:pBdr>
                <w:top w:val="nil"/>
                <w:left w:val="nil"/>
                <w:bottom w:val="nil"/>
                <w:right w:val="nil"/>
                <w:between w:val="nil"/>
              </w:pBdr>
              <w:spacing w:after="21"/>
              <w:rPr>
                <w:color w:val="000000"/>
              </w:rPr>
            </w:pPr>
            <w:r w:rsidRPr="008073A9">
              <w:rPr>
                <w:color w:val="000000"/>
              </w:rPr>
              <w:t>The extent to which the proposed project fills a gap in the community's Continuum of Care (CoC</w:t>
            </w:r>
            <w:r w:rsidR="00EE502E">
              <w:rPr>
                <w:color w:val="000000"/>
              </w:rPr>
              <w:t>)</w:t>
            </w:r>
            <w:r w:rsidRPr="008073A9">
              <w:rPr>
                <w:color w:val="000000"/>
              </w:rPr>
              <w:t xml:space="preserve"> and addresses an eligible population</w:t>
            </w:r>
            <w:r w:rsidR="00A13629">
              <w:rPr>
                <w:color w:val="000000"/>
              </w:rPr>
              <w:t>.</w:t>
            </w:r>
          </w:p>
        </w:tc>
        <w:tc>
          <w:tcPr>
            <w:tcW w:w="2363" w:type="dxa"/>
          </w:tcPr>
          <w:p w14:paraId="79F40CB1" w14:textId="77777777" w:rsidR="00F96C31" w:rsidRDefault="00F96C31">
            <w:pPr>
              <w:pBdr>
                <w:top w:val="nil"/>
                <w:left w:val="nil"/>
                <w:bottom w:val="nil"/>
                <w:right w:val="nil"/>
                <w:between w:val="nil"/>
              </w:pBdr>
              <w:spacing w:after="21"/>
              <w:rPr>
                <w:color w:val="000000"/>
              </w:rPr>
            </w:pPr>
          </w:p>
        </w:tc>
      </w:tr>
      <w:tr w:rsidR="00F96C31" w14:paraId="56B2DA02" w14:textId="77777777">
        <w:tc>
          <w:tcPr>
            <w:tcW w:w="9180" w:type="dxa"/>
            <w:gridSpan w:val="2"/>
            <w:tcBorders>
              <w:bottom w:val="single" w:sz="4" w:space="0" w:color="000000"/>
            </w:tcBorders>
          </w:tcPr>
          <w:p w14:paraId="37D9409C" w14:textId="7E9EFF8A" w:rsidR="00F96C31" w:rsidRDefault="008073A9" w:rsidP="00A40A3E">
            <w:pPr>
              <w:numPr>
                <w:ilvl w:val="0"/>
                <w:numId w:val="10"/>
              </w:numPr>
              <w:pBdr>
                <w:top w:val="nil"/>
                <w:left w:val="nil"/>
                <w:bottom w:val="nil"/>
                <w:right w:val="nil"/>
                <w:between w:val="nil"/>
              </w:pBdr>
              <w:rPr>
                <w:color w:val="000000"/>
              </w:rPr>
            </w:pPr>
            <w:r w:rsidRPr="008073A9">
              <w:rPr>
                <w:color w:val="000000"/>
              </w:rPr>
              <w:t>The applicant's ability to pro</w:t>
            </w:r>
            <w:r>
              <w:rPr>
                <w:color w:val="000000"/>
              </w:rPr>
              <w:t>v</w:t>
            </w:r>
            <w:r w:rsidRPr="008073A9">
              <w:rPr>
                <w:color w:val="000000"/>
              </w:rPr>
              <w:t>ide documentation for the requirement match</w:t>
            </w:r>
            <w:r w:rsidR="00EE502E">
              <w:rPr>
                <w:color w:val="000000"/>
              </w:rPr>
              <w:t>.</w:t>
            </w:r>
          </w:p>
        </w:tc>
        <w:tc>
          <w:tcPr>
            <w:tcW w:w="2363" w:type="dxa"/>
            <w:tcBorders>
              <w:bottom w:val="single" w:sz="4" w:space="0" w:color="000000"/>
            </w:tcBorders>
          </w:tcPr>
          <w:p w14:paraId="24908108" w14:textId="77777777" w:rsidR="00F96C31" w:rsidRDefault="00F96C31">
            <w:pPr>
              <w:pBdr>
                <w:top w:val="nil"/>
                <w:left w:val="nil"/>
                <w:bottom w:val="nil"/>
                <w:right w:val="nil"/>
                <w:between w:val="nil"/>
              </w:pBdr>
              <w:rPr>
                <w:color w:val="000000"/>
              </w:rPr>
            </w:pPr>
          </w:p>
        </w:tc>
      </w:tr>
      <w:tr w:rsidR="008073A9" w14:paraId="50DD6108" w14:textId="77777777">
        <w:tc>
          <w:tcPr>
            <w:tcW w:w="9180" w:type="dxa"/>
            <w:gridSpan w:val="2"/>
            <w:tcBorders>
              <w:bottom w:val="single" w:sz="4" w:space="0" w:color="000000"/>
            </w:tcBorders>
          </w:tcPr>
          <w:p w14:paraId="129E8532" w14:textId="36BC9F0A" w:rsidR="008073A9" w:rsidRPr="008073A9" w:rsidRDefault="008073A9" w:rsidP="00A40A3E">
            <w:pPr>
              <w:numPr>
                <w:ilvl w:val="0"/>
                <w:numId w:val="10"/>
              </w:numPr>
              <w:pBdr>
                <w:top w:val="nil"/>
                <w:left w:val="nil"/>
                <w:bottom w:val="nil"/>
                <w:right w:val="nil"/>
                <w:between w:val="nil"/>
              </w:pBdr>
              <w:rPr>
                <w:color w:val="000000"/>
              </w:rPr>
            </w:pPr>
            <w:r w:rsidRPr="008073A9">
              <w:rPr>
                <w:color w:val="000000"/>
              </w:rPr>
              <w:t>The applican</w:t>
            </w:r>
            <w:r>
              <w:rPr>
                <w:color w:val="000000"/>
              </w:rPr>
              <w:t xml:space="preserve">t’s </w:t>
            </w:r>
            <w:r w:rsidRPr="008073A9">
              <w:rPr>
                <w:color w:val="000000"/>
              </w:rPr>
              <w:t>ability to propose an eligible project type.</w:t>
            </w:r>
          </w:p>
        </w:tc>
        <w:tc>
          <w:tcPr>
            <w:tcW w:w="2363" w:type="dxa"/>
            <w:tcBorders>
              <w:bottom w:val="single" w:sz="4" w:space="0" w:color="000000"/>
            </w:tcBorders>
          </w:tcPr>
          <w:p w14:paraId="66687856" w14:textId="77777777" w:rsidR="008073A9" w:rsidRDefault="008073A9">
            <w:pPr>
              <w:pBdr>
                <w:top w:val="nil"/>
                <w:left w:val="nil"/>
                <w:bottom w:val="nil"/>
                <w:right w:val="nil"/>
                <w:between w:val="nil"/>
              </w:pBdr>
              <w:rPr>
                <w:color w:val="000000"/>
              </w:rPr>
            </w:pPr>
          </w:p>
        </w:tc>
      </w:tr>
      <w:tr w:rsidR="008073A9" w14:paraId="0D0C40C9" w14:textId="77777777">
        <w:tc>
          <w:tcPr>
            <w:tcW w:w="9180" w:type="dxa"/>
            <w:gridSpan w:val="2"/>
            <w:tcBorders>
              <w:bottom w:val="single" w:sz="4" w:space="0" w:color="000000"/>
            </w:tcBorders>
          </w:tcPr>
          <w:p w14:paraId="76767A4B" w14:textId="6C9FA448" w:rsidR="008073A9" w:rsidRPr="008073A9" w:rsidRDefault="008073A9" w:rsidP="00A40A3E">
            <w:pPr>
              <w:numPr>
                <w:ilvl w:val="0"/>
                <w:numId w:val="10"/>
              </w:numPr>
              <w:pBdr>
                <w:top w:val="nil"/>
                <w:left w:val="nil"/>
                <w:bottom w:val="nil"/>
                <w:right w:val="nil"/>
                <w:between w:val="nil"/>
              </w:pBdr>
              <w:rPr>
                <w:color w:val="000000"/>
              </w:rPr>
            </w:pPr>
            <w:r w:rsidRPr="008073A9">
              <w:rPr>
                <w:color w:val="000000"/>
              </w:rPr>
              <w:t>The applicant's ability to provide solid fis</w:t>
            </w:r>
            <w:r>
              <w:rPr>
                <w:color w:val="000000"/>
              </w:rPr>
              <w:t>c</w:t>
            </w:r>
            <w:r w:rsidRPr="008073A9">
              <w:rPr>
                <w:color w:val="000000"/>
              </w:rPr>
              <w:t>al accountability to the project and the proposed budget is less than or equal to the amount of available funding, if noted.</w:t>
            </w:r>
          </w:p>
        </w:tc>
        <w:tc>
          <w:tcPr>
            <w:tcW w:w="2363" w:type="dxa"/>
            <w:tcBorders>
              <w:bottom w:val="single" w:sz="4" w:space="0" w:color="000000"/>
            </w:tcBorders>
          </w:tcPr>
          <w:p w14:paraId="3A3E8F4D" w14:textId="77777777" w:rsidR="008073A9" w:rsidRDefault="008073A9">
            <w:pPr>
              <w:pBdr>
                <w:top w:val="nil"/>
                <w:left w:val="nil"/>
                <w:bottom w:val="nil"/>
                <w:right w:val="nil"/>
                <w:between w:val="nil"/>
              </w:pBdr>
              <w:rPr>
                <w:color w:val="000000"/>
              </w:rPr>
            </w:pPr>
          </w:p>
        </w:tc>
      </w:tr>
      <w:tr w:rsidR="008073A9" w14:paraId="2D783D13" w14:textId="77777777">
        <w:tc>
          <w:tcPr>
            <w:tcW w:w="9180" w:type="dxa"/>
            <w:gridSpan w:val="2"/>
            <w:tcBorders>
              <w:bottom w:val="single" w:sz="4" w:space="0" w:color="000000"/>
            </w:tcBorders>
          </w:tcPr>
          <w:p w14:paraId="3F09520D" w14:textId="5EFF8210" w:rsidR="008073A9" w:rsidRPr="008073A9" w:rsidRDefault="008073A9" w:rsidP="00A40A3E">
            <w:pPr>
              <w:numPr>
                <w:ilvl w:val="0"/>
                <w:numId w:val="10"/>
              </w:numPr>
              <w:pBdr>
                <w:top w:val="nil"/>
                <w:left w:val="nil"/>
                <w:bottom w:val="nil"/>
                <w:right w:val="nil"/>
                <w:between w:val="nil"/>
              </w:pBdr>
              <w:rPr>
                <w:color w:val="000000"/>
              </w:rPr>
            </w:pPr>
            <w:r w:rsidRPr="008073A9">
              <w:rPr>
                <w:color w:val="000000"/>
              </w:rPr>
              <w:t>The extent to which the proposed project meets HUD's threshold criteria.</w:t>
            </w:r>
          </w:p>
        </w:tc>
        <w:tc>
          <w:tcPr>
            <w:tcW w:w="2363" w:type="dxa"/>
            <w:tcBorders>
              <w:bottom w:val="single" w:sz="4" w:space="0" w:color="000000"/>
            </w:tcBorders>
          </w:tcPr>
          <w:p w14:paraId="639D8806" w14:textId="77777777" w:rsidR="008073A9" w:rsidRDefault="008073A9">
            <w:pPr>
              <w:pBdr>
                <w:top w:val="nil"/>
                <w:left w:val="nil"/>
                <w:bottom w:val="nil"/>
                <w:right w:val="nil"/>
                <w:between w:val="nil"/>
              </w:pBdr>
              <w:rPr>
                <w:color w:val="000000"/>
              </w:rPr>
            </w:pPr>
          </w:p>
        </w:tc>
      </w:tr>
      <w:tr w:rsidR="005D2E65" w14:paraId="283BC65D" w14:textId="77777777">
        <w:tc>
          <w:tcPr>
            <w:tcW w:w="9180" w:type="dxa"/>
            <w:gridSpan w:val="2"/>
            <w:tcBorders>
              <w:bottom w:val="single" w:sz="4" w:space="0" w:color="000000"/>
            </w:tcBorders>
          </w:tcPr>
          <w:p w14:paraId="65513ADF" w14:textId="729E5CAF" w:rsidR="005D2E65" w:rsidRPr="008073A9" w:rsidRDefault="005D2E65" w:rsidP="00A40A3E">
            <w:pPr>
              <w:numPr>
                <w:ilvl w:val="0"/>
                <w:numId w:val="10"/>
              </w:numPr>
              <w:pBdr>
                <w:top w:val="nil"/>
                <w:left w:val="nil"/>
                <w:bottom w:val="nil"/>
                <w:right w:val="nil"/>
                <w:between w:val="nil"/>
              </w:pBdr>
              <w:rPr>
                <w:color w:val="000000"/>
              </w:rPr>
            </w:pPr>
            <w:r>
              <w:rPr>
                <w:color w:val="000000"/>
              </w:rPr>
              <w:t>The applicant’s experience and capacity in providing similar services, the length and type of experience it has working with the homeless, the quality of programs/services it provides, and the experience level of key staff.</w:t>
            </w:r>
          </w:p>
        </w:tc>
        <w:tc>
          <w:tcPr>
            <w:tcW w:w="2363" w:type="dxa"/>
            <w:tcBorders>
              <w:bottom w:val="single" w:sz="4" w:space="0" w:color="000000"/>
            </w:tcBorders>
          </w:tcPr>
          <w:p w14:paraId="784C7545" w14:textId="77777777" w:rsidR="005D2E65" w:rsidRDefault="005D2E65">
            <w:pPr>
              <w:pBdr>
                <w:top w:val="nil"/>
                <w:left w:val="nil"/>
                <w:bottom w:val="nil"/>
                <w:right w:val="nil"/>
                <w:between w:val="nil"/>
              </w:pBdr>
              <w:rPr>
                <w:color w:val="000000"/>
              </w:rPr>
            </w:pPr>
          </w:p>
        </w:tc>
      </w:tr>
      <w:tr w:rsidR="00F96C31" w14:paraId="73E05124" w14:textId="77777777">
        <w:tc>
          <w:tcPr>
            <w:tcW w:w="4590" w:type="dxa"/>
            <w:tcBorders>
              <w:left w:val="nil"/>
              <w:bottom w:val="single" w:sz="4" w:space="0" w:color="000000"/>
              <w:right w:val="nil"/>
            </w:tcBorders>
          </w:tcPr>
          <w:p w14:paraId="26627138" w14:textId="77777777" w:rsidR="00F96C31" w:rsidRDefault="00C14EE5">
            <w:pPr>
              <w:pBdr>
                <w:top w:val="nil"/>
                <w:left w:val="nil"/>
                <w:bottom w:val="nil"/>
                <w:right w:val="nil"/>
                <w:between w:val="nil"/>
              </w:pBdr>
              <w:rPr>
                <w:b/>
                <w:color w:val="000000"/>
              </w:rPr>
            </w:pPr>
            <w:r>
              <w:rPr>
                <w:b/>
                <w:color w:val="000000"/>
              </w:rPr>
              <w:t>Comments:</w:t>
            </w:r>
          </w:p>
        </w:tc>
        <w:tc>
          <w:tcPr>
            <w:tcW w:w="4590" w:type="dxa"/>
            <w:tcBorders>
              <w:left w:val="nil"/>
              <w:bottom w:val="single" w:sz="4" w:space="0" w:color="000000"/>
              <w:right w:val="single" w:sz="4" w:space="0" w:color="000000"/>
            </w:tcBorders>
          </w:tcPr>
          <w:p w14:paraId="299E39CD" w14:textId="77777777" w:rsidR="00F96C31" w:rsidRDefault="00C14EE5">
            <w:pPr>
              <w:pBdr>
                <w:top w:val="nil"/>
                <w:left w:val="nil"/>
                <w:bottom w:val="nil"/>
                <w:right w:val="nil"/>
                <w:between w:val="nil"/>
              </w:pBdr>
              <w:jc w:val="right"/>
              <w:rPr>
                <w:b/>
                <w:color w:val="000000"/>
              </w:rPr>
            </w:pPr>
            <w:r>
              <w:rPr>
                <w:b/>
                <w:color w:val="000000"/>
              </w:rPr>
              <w:t>Total</w:t>
            </w:r>
          </w:p>
        </w:tc>
        <w:tc>
          <w:tcPr>
            <w:tcW w:w="2363" w:type="dxa"/>
            <w:tcBorders>
              <w:left w:val="single" w:sz="4" w:space="0" w:color="000000"/>
              <w:bottom w:val="single" w:sz="4" w:space="0" w:color="000000"/>
            </w:tcBorders>
          </w:tcPr>
          <w:p w14:paraId="361C39C0" w14:textId="77777777" w:rsidR="00F96C31" w:rsidRDefault="00F96C31">
            <w:pPr>
              <w:pBdr>
                <w:top w:val="nil"/>
                <w:left w:val="nil"/>
                <w:bottom w:val="nil"/>
                <w:right w:val="nil"/>
                <w:between w:val="nil"/>
              </w:pBdr>
              <w:rPr>
                <w:color w:val="000000"/>
              </w:rPr>
            </w:pPr>
          </w:p>
        </w:tc>
      </w:tr>
      <w:tr w:rsidR="00F96C31" w14:paraId="2E6C6B77" w14:textId="77777777" w:rsidTr="00AA03C0">
        <w:trPr>
          <w:trHeight w:val="1881"/>
        </w:trPr>
        <w:tc>
          <w:tcPr>
            <w:tcW w:w="11543" w:type="dxa"/>
            <w:gridSpan w:val="3"/>
            <w:tcBorders>
              <w:top w:val="single" w:sz="4" w:space="0" w:color="000000"/>
              <w:left w:val="single" w:sz="4" w:space="0" w:color="000000"/>
              <w:bottom w:val="single" w:sz="4" w:space="0" w:color="000000"/>
              <w:right w:val="single" w:sz="4" w:space="0" w:color="000000"/>
            </w:tcBorders>
          </w:tcPr>
          <w:p w14:paraId="42A38AF4" w14:textId="77777777" w:rsidR="00AA03C0" w:rsidRDefault="00AA03C0">
            <w:pPr>
              <w:pBdr>
                <w:top w:val="nil"/>
                <w:left w:val="nil"/>
                <w:bottom w:val="nil"/>
                <w:right w:val="nil"/>
                <w:between w:val="nil"/>
              </w:pBdr>
              <w:rPr>
                <w:color w:val="000000"/>
              </w:rPr>
            </w:pPr>
            <w:bookmarkStart w:id="2" w:name="_Hlk15278147"/>
          </w:p>
          <w:p w14:paraId="7F95BC79" w14:textId="55D0B459" w:rsidR="00AA03C0" w:rsidRDefault="00AA03C0">
            <w:pPr>
              <w:pBdr>
                <w:top w:val="nil"/>
                <w:left w:val="nil"/>
                <w:bottom w:val="nil"/>
                <w:right w:val="nil"/>
                <w:between w:val="nil"/>
              </w:pBdr>
              <w:rPr>
                <w:color w:val="000000"/>
              </w:rPr>
            </w:pPr>
          </w:p>
        </w:tc>
      </w:tr>
      <w:bookmarkEnd w:id="2"/>
    </w:tbl>
    <w:p w14:paraId="3D78D6C3" w14:textId="6D62D420" w:rsidR="00F96C31" w:rsidRDefault="00F96C31" w:rsidP="00AC5084">
      <w:pPr>
        <w:pBdr>
          <w:top w:val="nil"/>
          <w:left w:val="nil"/>
          <w:bottom w:val="nil"/>
          <w:right w:val="nil"/>
          <w:between w:val="nil"/>
        </w:pBdr>
        <w:spacing w:after="0" w:line="240" w:lineRule="auto"/>
        <w:rPr>
          <w:color w:val="000000"/>
        </w:rPr>
      </w:pPr>
    </w:p>
    <w:p w14:paraId="0370C32B" w14:textId="77777777" w:rsidR="00AA03C0" w:rsidRDefault="00AA03C0" w:rsidP="00AC5084">
      <w:pPr>
        <w:pBdr>
          <w:top w:val="nil"/>
          <w:left w:val="nil"/>
          <w:bottom w:val="nil"/>
          <w:right w:val="nil"/>
          <w:between w:val="nil"/>
        </w:pBdr>
        <w:spacing w:after="0" w:line="240" w:lineRule="auto"/>
        <w:rPr>
          <w:color w:val="000000"/>
        </w:rPr>
      </w:pPr>
    </w:p>
    <w:tbl>
      <w:tblPr>
        <w:tblStyle w:val="a2"/>
        <w:tblW w:w="1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gridCol w:w="2363"/>
      </w:tblGrid>
      <w:tr w:rsidR="00F96C31" w14:paraId="25D77649" w14:textId="77777777">
        <w:tc>
          <w:tcPr>
            <w:tcW w:w="9180" w:type="dxa"/>
          </w:tcPr>
          <w:p w14:paraId="5FD3C7E9" w14:textId="0417C638" w:rsidR="00F96C31" w:rsidRDefault="002B0B62">
            <w:pPr>
              <w:pBdr>
                <w:top w:val="nil"/>
                <w:left w:val="nil"/>
                <w:bottom w:val="nil"/>
                <w:right w:val="nil"/>
                <w:between w:val="nil"/>
              </w:pBdr>
              <w:spacing w:after="30"/>
              <w:rPr>
                <w:color w:val="000000"/>
              </w:rPr>
            </w:pPr>
            <w:r>
              <w:rPr>
                <w:b/>
                <w:color w:val="000000"/>
              </w:rPr>
              <w:t>B</w:t>
            </w:r>
            <w:r w:rsidR="00C14EE5">
              <w:rPr>
                <w:b/>
                <w:color w:val="000000"/>
              </w:rPr>
              <w:t xml:space="preserve">. </w:t>
            </w:r>
            <w:r w:rsidR="00AC5084">
              <w:rPr>
                <w:b/>
                <w:color w:val="000000"/>
              </w:rPr>
              <w:t xml:space="preserve"> </w:t>
            </w:r>
            <w:r w:rsidR="005D2E65">
              <w:rPr>
                <w:b/>
                <w:color w:val="000000"/>
              </w:rPr>
              <w:t>Housing First Emphasis (25 points</w:t>
            </w:r>
          </w:p>
        </w:tc>
        <w:tc>
          <w:tcPr>
            <w:tcW w:w="2363" w:type="dxa"/>
          </w:tcPr>
          <w:p w14:paraId="5AA92403" w14:textId="77777777" w:rsidR="00F96C31" w:rsidRDefault="00C14EE5">
            <w:pPr>
              <w:pBdr>
                <w:top w:val="nil"/>
                <w:left w:val="nil"/>
                <w:bottom w:val="nil"/>
                <w:right w:val="nil"/>
                <w:between w:val="nil"/>
              </w:pBdr>
              <w:spacing w:after="30"/>
              <w:jc w:val="center"/>
              <w:rPr>
                <w:b/>
                <w:color w:val="000000"/>
              </w:rPr>
            </w:pPr>
            <w:r>
              <w:rPr>
                <w:b/>
                <w:color w:val="000000"/>
              </w:rPr>
              <w:t>Points</w:t>
            </w:r>
          </w:p>
        </w:tc>
      </w:tr>
      <w:tr w:rsidR="00F96C31" w14:paraId="0F3B5A0A" w14:textId="77777777">
        <w:tc>
          <w:tcPr>
            <w:tcW w:w="9180" w:type="dxa"/>
          </w:tcPr>
          <w:p w14:paraId="55E19746" w14:textId="6237213A" w:rsidR="00F96C31" w:rsidRDefault="005D2E65" w:rsidP="00AC5084">
            <w:pPr>
              <w:pStyle w:val="ListParagraph"/>
              <w:numPr>
                <w:ilvl w:val="0"/>
                <w:numId w:val="4"/>
              </w:numPr>
              <w:rPr>
                <w:color w:val="000000"/>
              </w:rPr>
            </w:pPr>
            <w:r>
              <w:rPr>
                <w:color w:val="000000"/>
              </w:rPr>
              <w:t>The extent to which applicant is a Housing First organization</w:t>
            </w:r>
            <w:r w:rsidR="00EE502E">
              <w:rPr>
                <w:color w:val="000000"/>
              </w:rPr>
              <w:t>.</w:t>
            </w:r>
          </w:p>
        </w:tc>
        <w:tc>
          <w:tcPr>
            <w:tcW w:w="2363" w:type="dxa"/>
          </w:tcPr>
          <w:p w14:paraId="4A754094" w14:textId="77777777" w:rsidR="00F96C31" w:rsidRDefault="00F96C31">
            <w:pPr>
              <w:pBdr>
                <w:top w:val="nil"/>
                <w:left w:val="nil"/>
                <w:bottom w:val="nil"/>
                <w:right w:val="nil"/>
                <w:between w:val="nil"/>
              </w:pBdr>
              <w:spacing w:after="30"/>
              <w:rPr>
                <w:color w:val="000000"/>
              </w:rPr>
            </w:pPr>
          </w:p>
        </w:tc>
      </w:tr>
      <w:tr w:rsidR="004A7AF2" w14:paraId="3712B0EE" w14:textId="77777777">
        <w:tc>
          <w:tcPr>
            <w:tcW w:w="9180" w:type="dxa"/>
          </w:tcPr>
          <w:p w14:paraId="3EC0DE89" w14:textId="3D503C30" w:rsidR="004A7AF2" w:rsidRDefault="004A7AF2" w:rsidP="00AC5084">
            <w:pPr>
              <w:pStyle w:val="ListParagraph"/>
              <w:numPr>
                <w:ilvl w:val="0"/>
                <w:numId w:val="4"/>
              </w:numPr>
              <w:rPr>
                <w:color w:val="000000"/>
              </w:rPr>
            </w:pPr>
            <w:r w:rsidRPr="004A7AF2">
              <w:rPr>
                <w:color w:val="000000"/>
              </w:rPr>
              <w:t>Housing First practices include rapid placement and stabilization in permanent housing and does not have service participation requirements.</w:t>
            </w:r>
          </w:p>
        </w:tc>
        <w:tc>
          <w:tcPr>
            <w:tcW w:w="2363" w:type="dxa"/>
          </w:tcPr>
          <w:p w14:paraId="08260ECE" w14:textId="77777777" w:rsidR="004A7AF2" w:rsidRDefault="004A7AF2">
            <w:pPr>
              <w:pBdr>
                <w:top w:val="nil"/>
                <w:left w:val="nil"/>
                <w:bottom w:val="nil"/>
                <w:right w:val="nil"/>
                <w:between w:val="nil"/>
              </w:pBdr>
              <w:spacing w:after="30"/>
              <w:rPr>
                <w:color w:val="000000"/>
              </w:rPr>
            </w:pPr>
          </w:p>
        </w:tc>
      </w:tr>
    </w:tbl>
    <w:tbl>
      <w:tblPr>
        <w:tblpPr w:leftFromText="180" w:rightFromText="180" w:vertAnchor="text" w:horzAnchor="margin" w:tblpY="389"/>
        <w:tblW w:w="1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43"/>
      </w:tblGrid>
      <w:tr w:rsidR="004C76D4" w14:paraId="4C0D0F71" w14:textId="77777777" w:rsidTr="00AA03C0">
        <w:trPr>
          <w:trHeight w:val="1607"/>
        </w:trPr>
        <w:tc>
          <w:tcPr>
            <w:tcW w:w="11543" w:type="dxa"/>
          </w:tcPr>
          <w:p w14:paraId="59A77EDE" w14:textId="77777777" w:rsidR="004C76D4" w:rsidRDefault="004C76D4" w:rsidP="00AA03C0">
            <w:pPr>
              <w:pBdr>
                <w:top w:val="nil"/>
                <w:left w:val="nil"/>
                <w:bottom w:val="nil"/>
                <w:right w:val="nil"/>
                <w:between w:val="nil"/>
              </w:pBdr>
              <w:spacing w:after="0" w:line="240" w:lineRule="auto"/>
              <w:rPr>
                <w:color w:val="000000"/>
              </w:rPr>
            </w:pPr>
          </w:p>
          <w:p w14:paraId="2D024B3C" w14:textId="09BAF786" w:rsidR="00AA03C0" w:rsidRDefault="00AA03C0" w:rsidP="004C76D4">
            <w:pPr>
              <w:pBdr>
                <w:top w:val="nil"/>
                <w:left w:val="nil"/>
                <w:bottom w:val="nil"/>
                <w:right w:val="nil"/>
                <w:between w:val="nil"/>
              </w:pBdr>
              <w:rPr>
                <w:color w:val="000000"/>
              </w:rPr>
            </w:pPr>
          </w:p>
        </w:tc>
      </w:tr>
    </w:tbl>
    <w:tbl>
      <w:tblPr>
        <w:tblStyle w:val="a2"/>
        <w:tblW w:w="115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590"/>
        <w:gridCol w:w="2363"/>
      </w:tblGrid>
      <w:tr w:rsidR="00F96C31" w14:paraId="306334C7" w14:textId="77777777" w:rsidTr="00365148">
        <w:tc>
          <w:tcPr>
            <w:tcW w:w="4590" w:type="dxa"/>
            <w:tcBorders>
              <w:left w:val="nil"/>
              <w:right w:val="nil"/>
            </w:tcBorders>
          </w:tcPr>
          <w:p w14:paraId="10FAF5F6" w14:textId="0A4AF84B" w:rsidR="00365148" w:rsidRDefault="00365148">
            <w:pPr>
              <w:pBdr>
                <w:top w:val="nil"/>
                <w:left w:val="nil"/>
                <w:bottom w:val="nil"/>
                <w:right w:val="nil"/>
                <w:between w:val="nil"/>
              </w:pBdr>
              <w:rPr>
                <w:b/>
                <w:color w:val="000000"/>
              </w:rPr>
            </w:pPr>
            <w:r w:rsidRPr="00365148">
              <w:rPr>
                <w:b/>
                <w:bCs/>
              </w:rPr>
              <w:t xml:space="preserve"> </w:t>
            </w:r>
            <w:r w:rsidR="004C76D4">
              <w:rPr>
                <w:b/>
                <w:bCs/>
              </w:rPr>
              <w:t>Comments:</w:t>
            </w:r>
          </w:p>
        </w:tc>
        <w:tc>
          <w:tcPr>
            <w:tcW w:w="4590" w:type="dxa"/>
            <w:tcBorders>
              <w:left w:val="nil"/>
            </w:tcBorders>
          </w:tcPr>
          <w:p w14:paraId="06BAA840" w14:textId="75EF834D" w:rsidR="00F96C31" w:rsidRDefault="004C76D4">
            <w:pPr>
              <w:pBdr>
                <w:top w:val="nil"/>
                <w:left w:val="nil"/>
                <w:bottom w:val="nil"/>
                <w:right w:val="nil"/>
                <w:between w:val="nil"/>
              </w:pBdr>
              <w:ind w:left="360"/>
              <w:jc w:val="right"/>
              <w:rPr>
                <w:b/>
                <w:color w:val="000000"/>
              </w:rPr>
            </w:pPr>
            <w:r>
              <w:rPr>
                <w:b/>
                <w:color w:val="000000"/>
              </w:rPr>
              <w:t>Total</w:t>
            </w:r>
          </w:p>
        </w:tc>
        <w:tc>
          <w:tcPr>
            <w:tcW w:w="2363" w:type="dxa"/>
          </w:tcPr>
          <w:p w14:paraId="41D55679" w14:textId="77777777" w:rsidR="00F96C31" w:rsidRDefault="00F96C31">
            <w:pPr>
              <w:pBdr>
                <w:top w:val="nil"/>
                <w:left w:val="nil"/>
                <w:bottom w:val="nil"/>
                <w:right w:val="nil"/>
                <w:between w:val="nil"/>
              </w:pBdr>
              <w:rPr>
                <w:color w:val="000000"/>
              </w:rPr>
            </w:pPr>
          </w:p>
        </w:tc>
      </w:tr>
    </w:tbl>
    <w:p w14:paraId="54A01533" w14:textId="3B3A56CD" w:rsidR="00A971F1" w:rsidRDefault="00A971F1"/>
    <w:p w14:paraId="4820CF1D" w14:textId="2DB660CE" w:rsidR="00AA03C0" w:rsidRDefault="00AA03C0"/>
    <w:p w14:paraId="48AC8D6F" w14:textId="77777777" w:rsidR="00AA03C0" w:rsidRDefault="00AA03C0"/>
    <w:tbl>
      <w:tblPr>
        <w:tblW w:w="1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590"/>
        <w:gridCol w:w="2363"/>
      </w:tblGrid>
      <w:tr w:rsidR="00A40A3E" w:rsidRPr="00A40A3E" w14:paraId="1E1D54BA" w14:textId="77777777" w:rsidTr="002B0B62">
        <w:trPr>
          <w:trHeight w:val="333"/>
        </w:trPr>
        <w:tc>
          <w:tcPr>
            <w:tcW w:w="9180" w:type="dxa"/>
            <w:gridSpan w:val="2"/>
          </w:tcPr>
          <w:p w14:paraId="32F08B00" w14:textId="35DF446C" w:rsidR="00365148" w:rsidRPr="00A40A3E" w:rsidRDefault="002B0B62" w:rsidP="00AC5084">
            <w:pPr>
              <w:pBdr>
                <w:top w:val="nil"/>
                <w:left w:val="nil"/>
                <w:bottom w:val="nil"/>
                <w:right w:val="nil"/>
                <w:between w:val="nil"/>
              </w:pBdr>
              <w:rPr>
                <w:b/>
              </w:rPr>
            </w:pPr>
            <w:bookmarkStart w:id="3" w:name="_Hlk80863376"/>
            <w:r w:rsidRPr="00A40A3E">
              <w:rPr>
                <w:b/>
              </w:rPr>
              <w:t>C</w:t>
            </w:r>
            <w:r w:rsidR="00365148" w:rsidRPr="00A40A3E">
              <w:rPr>
                <w:b/>
              </w:rPr>
              <w:t xml:space="preserve">. </w:t>
            </w:r>
            <w:r w:rsidR="00AC5084" w:rsidRPr="00AC5084">
              <w:rPr>
                <w:b/>
              </w:rPr>
              <w:t xml:space="preserve"> </w:t>
            </w:r>
            <w:r w:rsidR="005D2E65">
              <w:rPr>
                <w:b/>
              </w:rPr>
              <w:t>Sub-population Focus (25 points)</w:t>
            </w:r>
          </w:p>
        </w:tc>
        <w:tc>
          <w:tcPr>
            <w:tcW w:w="2363" w:type="dxa"/>
          </w:tcPr>
          <w:p w14:paraId="511141FD" w14:textId="77777777" w:rsidR="00365148" w:rsidRPr="00A40A3E" w:rsidRDefault="00365148" w:rsidP="005A5AE3">
            <w:pPr>
              <w:pBdr>
                <w:top w:val="nil"/>
                <w:left w:val="nil"/>
                <w:bottom w:val="nil"/>
                <w:right w:val="nil"/>
                <w:between w:val="nil"/>
              </w:pBdr>
              <w:jc w:val="center"/>
              <w:rPr>
                <w:bCs/>
              </w:rPr>
            </w:pPr>
            <w:r w:rsidRPr="00A40A3E">
              <w:rPr>
                <w:bCs/>
              </w:rPr>
              <w:t>Points</w:t>
            </w:r>
          </w:p>
        </w:tc>
      </w:tr>
      <w:tr w:rsidR="005D2E65" w:rsidRPr="00A40A3E" w14:paraId="1399F15D" w14:textId="77777777" w:rsidTr="00A971F1">
        <w:trPr>
          <w:trHeight w:val="270"/>
        </w:trPr>
        <w:tc>
          <w:tcPr>
            <w:tcW w:w="9180" w:type="dxa"/>
            <w:gridSpan w:val="2"/>
            <w:tcBorders>
              <w:bottom w:val="single" w:sz="4" w:space="0" w:color="000000"/>
            </w:tcBorders>
          </w:tcPr>
          <w:p w14:paraId="27E94A58" w14:textId="4D695D97" w:rsidR="005D2E65" w:rsidRPr="00EE502E" w:rsidRDefault="00A13D86" w:rsidP="00EE502E">
            <w:pPr>
              <w:pStyle w:val="ListParagraph"/>
              <w:numPr>
                <w:ilvl w:val="0"/>
                <w:numId w:val="4"/>
              </w:numPr>
              <w:rPr>
                <w:bCs/>
              </w:rPr>
            </w:pPr>
            <w:r w:rsidRPr="00EE502E">
              <w:rPr>
                <w:bCs/>
              </w:rPr>
              <w:t xml:space="preserve">Permanent Housing-Permanent Supportive Housing (PH-PSH) – Persons eligible to be served by </w:t>
            </w:r>
            <w:proofErr w:type="spellStart"/>
            <w:r w:rsidRPr="00EE502E">
              <w:rPr>
                <w:bCs/>
              </w:rPr>
              <w:t>DedicatedPLUS</w:t>
            </w:r>
            <w:proofErr w:type="spellEnd"/>
            <w:r w:rsidRPr="00EE502E">
              <w:rPr>
                <w:bCs/>
              </w:rPr>
              <w:t xml:space="preserve"> projects as described in Section III.B.2.g of the U.S. Department of Housing and Urban Development Notice of Funding Opportunity for Fiscal Year (FY) 2021 CoC Competition or persons experiencing chronic homelessness at the time they initially enroll in the project.</w:t>
            </w:r>
          </w:p>
        </w:tc>
        <w:tc>
          <w:tcPr>
            <w:tcW w:w="2363" w:type="dxa"/>
          </w:tcPr>
          <w:p w14:paraId="3BD5C957" w14:textId="77777777" w:rsidR="005D2E65" w:rsidRPr="00A40A3E" w:rsidRDefault="005D2E65" w:rsidP="008329FF">
            <w:pPr>
              <w:pBdr>
                <w:top w:val="nil"/>
                <w:left w:val="nil"/>
                <w:bottom w:val="nil"/>
                <w:right w:val="nil"/>
                <w:between w:val="nil"/>
              </w:pBdr>
            </w:pPr>
          </w:p>
        </w:tc>
      </w:tr>
      <w:tr w:rsidR="00A40A3E" w:rsidRPr="00A40A3E" w14:paraId="5142CAFB" w14:textId="77777777" w:rsidTr="00A971F1">
        <w:trPr>
          <w:trHeight w:val="270"/>
        </w:trPr>
        <w:tc>
          <w:tcPr>
            <w:tcW w:w="9180" w:type="dxa"/>
            <w:gridSpan w:val="2"/>
            <w:tcBorders>
              <w:bottom w:val="single" w:sz="4" w:space="0" w:color="000000"/>
            </w:tcBorders>
          </w:tcPr>
          <w:p w14:paraId="35C36EC5" w14:textId="1526239C" w:rsidR="008329FF" w:rsidRPr="00EE502E" w:rsidRDefault="00A13D86" w:rsidP="00EE502E">
            <w:pPr>
              <w:pStyle w:val="ListParagraph"/>
              <w:numPr>
                <w:ilvl w:val="0"/>
                <w:numId w:val="4"/>
              </w:numPr>
              <w:rPr>
                <w:bCs/>
              </w:rPr>
            </w:pPr>
            <w:r w:rsidRPr="00EE502E">
              <w:rPr>
                <w:bCs/>
              </w:rPr>
              <w:t>Permanent Housing – Rapid Re-Housing (PH-RRH) – Persons who qualify as homeless under    paragraphs (1), (2), or (4) of 24 CFR 578.3</w:t>
            </w:r>
          </w:p>
        </w:tc>
        <w:tc>
          <w:tcPr>
            <w:tcW w:w="2363" w:type="dxa"/>
          </w:tcPr>
          <w:p w14:paraId="257D4167" w14:textId="77777777" w:rsidR="008329FF" w:rsidRPr="00A40A3E" w:rsidRDefault="008329FF" w:rsidP="008329FF">
            <w:pPr>
              <w:pBdr>
                <w:top w:val="nil"/>
                <w:left w:val="nil"/>
                <w:bottom w:val="nil"/>
                <w:right w:val="nil"/>
                <w:between w:val="nil"/>
              </w:pBdr>
            </w:pPr>
          </w:p>
        </w:tc>
      </w:tr>
      <w:tr w:rsidR="00A13D86" w:rsidRPr="00A40A3E" w14:paraId="63EB48CF" w14:textId="77777777" w:rsidTr="00A971F1">
        <w:trPr>
          <w:trHeight w:val="270"/>
        </w:trPr>
        <w:tc>
          <w:tcPr>
            <w:tcW w:w="9180" w:type="dxa"/>
            <w:gridSpan w:val="2"/>
            <w:tcBorders>
              <w:bottom w:val="single" w:sz="4" w:space="0" w:color="000000"/>
            </w:tcBorders>
          </w:tcPr>
          <w:p w14:paraId="14436450" w14:textId="4642321D" w:rsidR="00A13D86" w:rsidRPr="00EE502E" w:rsidRDefault="00A13D86" w:rsidP="00EE502E">
            <w:pPr>
              <w:pStyle w:val="ListParagraph"/>
              <w:numPr>
                <w:ilvl w:val="0"/>
                <w:numId w:val="4"/>
              </w:numPr>
              <w:rPr>
                <w:bCs/>
              </w:rPr>
            </w:pPr>
            <w:r w:rsidRPr="00EE502E">
              <w:rPr>
                <w:bCs/>
              </w:rPr>
              <w:t>Joint Transitional Housing and Permanent Housing – Persons who qualify as homeless under paragraphs (1), (2), or (4) of 24 CFR 578.3</w:t>
            </w:r>
          </w:p>
        </w:tc>
        <w:tc>
          <w:tcPr>
            <w:tcW w:w="2363" w:type="dxa"/>
          </w:tcPr>
          <w:p w14:paraId="786C0AE7" w14:textId="77777777" w:rsidR="00A13D86" w:rsidRPr="00A40A3E" w:rsidRDefault="00A13D86" w:rsidP="008329FF">
            <w:pPr>
              <w:pBdr>
                <w:top w:val="nil"/>
                <w:left w:val="nil"/>
                <w:bottom w:val="nil"/>
                <w:right w:val="nil"/>
                <w:between w:val="nil"/>
              </w:pBdr>
            </w:pPr>
          </w:p>
        </w:tc>
      </w:tr>
      <w:tr w:rsidR="00A13D86" w:rsidRPr="00A40A3E" w14:paraId="6A463E38" w14:textId="77777777" w:rsidTr="00A971F1">
        <w:trPr>
          <w:trHeight w:val="270"/>
        </w:trPr>
        <w:tc>
          <w:tcPr>
            <w:tcW w:w="9180" w:type="dxa"/>
            <w:gridSpan w:val="2"/>
            <w:tcBorders>
              <w:bottom w:val="single" w:sz="4" w:space="0" w:color="000000"/>
            </w:tcBorders>
          </w:tcPr>
          <w:p w14:paraId="4E45759E" w14:textId="513026E6" w:rsidR="00A13D86" w:rsidRPr="00EE502E" w:rsidRDefault="00A13D86" w:rsidP="00EE502E">
            <w:pPr>
              <w:pStyle w:val="ListParagraph"/>
              <w:numPr>
                <w:ilvl w:val="0"/>
                <w:numId w:val="4"/>
              </w:numPr>
              <w:rPr>
                <w:bCs/>
              </w:rPr>
            </w:pPr>
            <w:r w:rsidRPr="00EE502E">
              <w:rPr>
                <w:bCs/>
              </w:rPr>
              <w:t>CES-SSO - Persons who qualify as homeless under paragraphs (1), (2), or (4) of 24 CFR 578.3</w:t>
            </w:r>
          </w:p>
        </w:tc>
        <w:tc>
          <w:tcPr>
            <w:tcW w:w="2363" w:type="dxa"/>
          </w:tcPr>
          <w:p w14:paraId="59BE0803" w14:textId="77777777" w:rsidR="00A13D86" w:rsidRPr="00A40A3E" w:rsidRDefault="00A13D86" w:rsidP="008329FF">
            <w:pPr>
              <w:pBdr>
                <w:top w:val="nil"/>
                <w:left w:val="nil"/>
                <w:bottom w:val="nil"/>
                <w:right w:val="nil"/>
                <w:between w:val="nil"/>
              </w:pBdr>
            </w:pPr>
          </w:p>
        </w:tc>
      </w:tr>
      <w:tr w:rsidR="00365148" w14:paraId="7803738D" w14:textId="77777777" w:rsidTr="005A5AE3">
        <w:tc>
          <w:tcPr>
            <w:tcW w:w="4590" w:type="dxa"/>
            <w:tcBorders>
              <w:left w:val="nil"/>
              <w:bottom w:val="single" w:sz="4" w:space="0" w:color="000000"/>
              <w:right w:val="nil"/>
            </w:tcBorders>
          </w:tcPr>
          <w:p w14:paraId="1A0CACFA" w14:textId="77777777" w:rsidR="00365148" w:rsidRDefault="00365148" w:rsidP="002B0B62">
            <w:pPr>
              <w:pBdr>
                <w:top w:val="nil"/>
                <w:left w:val="nil"/>
                <w:bottom w:val="nil"/>
                <w:right w:val="nil"/>
                <w:between w:val="nil"/>
              </w:pBdr>
              <w:spacing w:line="240" w:lineRule="auto"/>
              <w:contextualSpacing/>
              <w:rPr>
                <w:b/>
                <w:color w:val="000000"/>
              </w:rPr>
            </w:pPr>
            <w:r>
              <w:rPr>
                <w:b/>
                <w:color w:val="000000"/>
              </w:rPr>
              <w:t>Comments:</w:t>
            </w:r>
          </w:p>
        </w:tc>
        <w:tc>
          <w:tcPr>
            <w:tcW w:w="4590" w:type="dxa"/>
            <w:tcBorders>
              <w:left w:val="nil"/>
              <w:bottom w:val="single" w:sz="4" w:space="0" w:color="000000"/>
            </w:tcBorders>
          </w:tcPr>
          <w:p w14:paraId="7354BFB2" w14:textId="77777777" w:rsidR="00365148" w:rsidRDefault="00365148" w:rsidP="002B0B62">
            <w:pPr>
              <w:pBdr>
                <w:top w:val="nil"/>
                <w:left w:val="nil"/>
                <w:bottom w:val="nil"/>
                <w:right w:val="nil"/>
                <w:between w:val="nil"/>
              </w:pBdr>
              <w:spacing w:line="240" w:lineRule="auto"/>
              <w:ind w:left="360"/>
              <w:contextualSpacing/>
              <w:jc w:val="right"/>
              <w:rPr>
                <w:b/>
                <w:color w:val="000000"/>
              </w:rPr>
            </w:pPr>
            <w:r>
              <w:rPr>
                <w:b/>
                <w:color w:val="000000"/>
              </w:rPr>
              <w:t>Total</w:t>
            </w:r>
          </w:p>
        </w:tc>
        <w:tc>
          <w:tcPr>
            <w:tcW w:w="2363" w:type="dxa"/>
            <w:tcBorders>
              <w:bottom w:val="single" w:sz="4" w:space="0" w:color="000000"/>
            </w:tcBorders>
          </w:tcPr>
          <w:p w14:paraId="154AF771" w14:textId="77777777" w:rsidR="00365148" w:rsidRDefault="00365148" w:rsidP="002B0B62">
            <w:pPr>
              <w:pBdr>
                <w:top w:val="nil"/>
                <w:left w:val="nil"/>
                <w:bottom w:val="nil"/>
                <w:right w:val="nil"/>
                <w:between w:val="nil"/>
              </w:pBdr>
              <w:spacing w:line="240" w:lineRule="auto"/>
              <w:contextualSpacing/>
              <w:rPr>
                <w:color w:val="000000"/>
              </w:rPr>
            </w:pPr>
          </w:p>
        </w:tc>
      </w:tr>
      <w:tr w:rsidR="00365148" w14:paraId="1C1C42BA" w14:textId="77777777" w:rsidTr="005A5AE3">
        <w:trPr>
          <w:trHeight w:val="2380"/>
        </w:trPr>
        <w:tc>
          <w:tcPr>
            <w:tcW w:w="11543" w:type="dxa"/>
            <w:gridSpan w:val="3"/>
            <w:tcBorders>
              <w:left w:val="single" w:sz="4" w:space="0" w:color="000000"/>
              <w:bottom w:val="single" w:sz="4" w:space="0" w:color="000000"/>
            </w:tcBorders>
          </w:tcPr>
          <w:p w14:paraId="3774EFB2" w14:textId="77777777" w:rsidR="00365148" w:rsidRDefault="00365148" w:rsidP="005A5AE3">
            <w:pPr>
              <w:pBdr>
                <w:top w:val="nil"/>
                <w:left w:val="nil"/>
                <w:bottom w:val="nil"/>
                <w:right w:val="nil"/>
                <w:between w:val="nil"/>
              </w:pBdr>
              <w:rPr>
                <w:color w:val="000000"/>
              </w:rPr>
            </w:pPr>
          </w:p>
        </w:tc>
      </w:tr>
      <w:bookmarkEnd w:id="3"/>
    </w:tbl>
    <w:p w14:paraId="10FF3486" w14:textId="725B7EAB" w:rsidR="00F96C31" w:rsidRDefault="00F96C31">
      <w:pPr>
        <w:pBdr>
          <w:top w:val="nil"/>
          <w:left w:val="nil"/>
          <w:bottom w:val="nil"/>
          <w:right w:val="nil"/>
          <w:between w:val="nil"/>
        </w:pBdr>
        <w:spacing w:after="0" w:line="240" w:lineRule="auto"/>
        <w:rPr>
          <w:color w:val="000000"/>
        </w:rPr>
      </w:pPr>
    </w:p>
    <w:p w14:paraId="006C9826" w14:textId="77777777" w:rsidR="00A971F1" w:rsidRDefault="00A971F1">
      <w:pPr>
        <w:pBdr>
          <w:top w:val="nil"/>
          <w:left w:val="nil"/>
          <w:bottom w:val="nil"/>
          <w:right w:val="nil"/>
          <w:between w:val="nil"/>
        </w:pBdr>
        <w:spacing w:after="0" w:line="240" w:lineRule="auto"/>
        <w:rPr>
          <w:color w:val="000000"/>
        </w:rPr>
      </w:pPr>
    </w:p>
    <w:tbl>
      <w:tblPr>
        <w:tblW w:w="1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590"/>
        <w:gridCol w:w="2363"/>
      </w:tblGrid>
      <w:tr w:rsidR="00A971F1" w:rsidRPr="00A40A3E" w14:paraId="512D726B" w14:textId="77777777" w:rsidTr="00473FA1">
        <w:trPr>
          <w:trHeight w:val="333"/>
        </w:trPr>
        <w:tc>
          <w:tcPr>
            <w:tcW w:w="9180" w:type="dxa"/>
            <w:gridSpan w:val="2"/>
          </w:tcPr>
          <w:p w14:paraId="203DB330" w14:textId="49A95EFF" w:rsidR="00A971F1" w:rsidRPr="00A40A3E" w:rsidRDefault="00A971F1" w:rsidP="00473FA1">
            <w:pPr>
              <w:pBdr>
                <w:top w:val="nil"/>
                <w:left w:val="nil"/>
                <w:bottom w:val="nil"/>
                <w:right w:val="nil"/>
                <w:between w:val="nil"/>
              </w:pBdr>
              <w:rPr>
                <w:b/>
              </w:rPr>
            </w:pPr>
            <w:r>
              <w:rPr>
                <w:b/>
              </w:rPr>
              <w:t>D</w:t>
            </w:r>
            <w:r w:rsidRPr="00A40A3E">
              <w:rPr>
                <w:b/>
              </w:rPr>
              <w:t xml:space="preserve">. </w:t>
            </w:r>
            <w:r w:rsidRPr="00AC5084">
              <w:rPr>
                <w:b/>
              </w:rPr>
              <w:t xml:space="preserve"> </w:t>
            </w:r>
            <w:r>
              <w:rPr>
                <w:b/>
              </w:rPr>
              <w:t>Cost Effectiveness (2</w:t>
            </w:r>
            <w:r w:rsidR="000B3120">
              <w:rPr>
                <w:b/>
              </w:rPr>
              <w:t>0</w:t>
            </w:r>
            <w:r>
              <w:rPr>
                <w:b/>
              </w:rPr>
              <w:t>)</w:t>
            </w:r>
          </w:p>
        </w:tc>
        <w:tc>
          <w:tcPr>
            <w:tcW w:w="2363" w:type="dxa"/>
          </w:tcPr>
          <w:p w14:paraId="7A0FF4C0" w14:textId="77777777" w:rsidR="00A971F1" w:rsidRPr="00A40A3E" w:rsidRDefault="00A971F1" w:rsidP="00473FA1">
            <w:pPr>
              <w:pBdr>
                <w:top w:val="nil"/>
                <w:left w:val="nil"/>
                <w:bottom w:val="nil"/>
                <w:right w:val="nil"/>
                <w:between w:val="nil"/>
              </w:pBdr>
              <w:jc w:val="center"/>
              <w:rPr>
                <w:bCs/>
              </w:rPr>
            </w:pPr>
            <w:r w:rsidRPr="00A40A3E">
              <w:rPr>
                <w:bCs/>
              </w:rPr>
              <w:t>Points</w:t>
            </w:r>
          </w:p>
        </w:tc>
      </w:tr>
      <w:tr w:rsidR="00A971F1" w:rsidRPr="00A40A3E" w14:paraId="1FA25448" w14:textId="77777777" w:rsidTr="005C0E21">
        <w:trPr>
          <w:trHeight w:val="810"/>
        </w:trPr>
        <w:tc>
          <w:tcPr>
            <w:tcW w:w="9180" w:type="dxa"/>
            <w:gridSpan w:val="2"/>
            <w:tcBorders>
              <w:bottom w:val="single" w:sz="4" w:space="0" w:color="000000"/>
            </w:tcBorders>
          </w:tcPr>
          <w:p w14:paraId="578B58B3" w14:textId="58AB8BD8" w:rsidR="00A971F1" w:rsidRPr="00AA03C0" w:rsidRDefault="007B58DA" w:rsidP="00AA03C0">
            <w:pPr>
              <w:pStyle w:val="ListParagraph"/>
              <w:numPr>
                <w:ilvl w:val="0"/>
                <w:numId w:val="4"/>
              </w:numPr>
              <w:rPr>
                <w:bCs/>
              </w:rPr>
            </w:pPr>
            <w:r w:rsidRPr="00AA03C0">
              <w:rPr>
                <w:bCs/>
              </w:rPr>
              <w:t>Total project cost/number of persons served within a program year.</w:t>
            </w:r>
            <w:r w:rsidRPr="00AA03C0">
              <w:rPr>
                <w:bCs/>
              </w:rPr>
              <w:tab/>
            </w:r>
            <w:r w:rsidR="005C0E21" w:rsidRPr="00AA03C0">
              <w:rPr>
                <w:bCs/>
              </w:rPr>
              <w:tab/>
            </w:r>
            <w:r w:rsidR="005C0E21" w:rsidRPr="00AA03C0">
              <w:rPr>
                <w:bCs/>
              </w:rPr>
              <w:tab/>
            </w:r>
          </w:p>
        </w:tc>
        <w:tc>
          <w:tcPr>
            <w:tcW w:w="2363" w:type="dxa"/>
          </w:tcPr>
          <w:p w14:paraId="17D69F1A" w14:textId="77777777" w:rsidR="00A971F1" w:rsidRPr="00A40A3E" w:rsidRDefault="00A971F1" w:rsidP="00473FA1">
            <w:pPr>
              <w:pBdr>
                <w:top w:val="nil"/>
                <w:left w:val="nil"/>
                <w:bottom w:val="nil"/>
                <w:right w:val="nil"/>
                <w:between w:val="nil"/>
              </w:pBdr>
            </w:pPr>
          </w:p>
        </w:tc>
      </w:tr>
      <w:tr w:rsidR="00A971F1" w14:paraId="6660A5AE" w14:textId="77777777" w:rsidTr="00473FA1">
        <w:tc>
          <w:tcPr>
            <w:tcW w:w="4590" w:type="dxa"/>
            <w:tcBorders>
              <w:left w:val="nil"/>
              <w:bottom w:val="single" w:sz="4" w:space="0" w:color="000000"/>
              <w:right w:val="nil"/>
            </w:tcBorders>
          </w:tcPr>
          <w:p w14:paraId="36477EBC" w14:textId="77777777" w:rsidR="00A971F1" w:rsidRDefault="00A971F1" w:rsidP="00473FA1">
            <w:pPr>
              <w:pBdr>
                <w:top w:val="nil"/>
                <w:left w:val="nil"/>
                <w:bottom w:val="nil"/>
                <w:right w:val="nil"/>
                <w:between w:val="nil"/>
              </w:pBdr>
              <w:spacing w:line="240" w:lineRule="auto"/>
              <w:contextualSpacing/>
              <w:rPr>
                <w:b/>
                <w:color w:val="000000"/>
              </w:rPr>
            </w:pPr>
            <w:r>
              <w:rPr>
                <w:b/>
                <w:color w:val="000000"/>
              </w:rPr>
              <w:t>Comments:</w:t>
            </w:r>
          </w:p>
        </w:tc>
        <w:tc>
          <w:tcPr>
            <w:tcW w:w="4590" w:type="dxa"/>
            <w:tcBorders>
              <w:left w:val="nil"/>
              <w:bottom w:val="single" w:sz="4" w:space="0" w:color="000000"/>
            </w:tcBorders>
          </w:tcPr>
          <w:p w14:paraId="6FD5B608" w14:textId="77777777" w:rsidR="00A971F1" w:rsidRDefault="00A971F1" w:rsidP="00473FA1">
            <w:pPr>
              <w:pBdr>
                <w:top w:val="nil"/>
                <w:left w:val="nil"/>
                <w:bottom w:val="nil"/>
                <w:right w:val="nil"/>
                <w:between w:val="nil"/>
              </w:pBdr>
              <w:spacing w:line="240" w:lineRule="auto"/>
              <w:ind w:left="360"/>
              <w:contextualSpacing/>
              <w:jc w:val="right"/>
              <w:rPr>
                <w:b/>
                <w:color w:val="000000"/>
              </w:rPr>
            </w:pPr>
            <w:r>
              <w:rPr>
                <w:b/>
                <w:color w:val="000000"/>
              </w:rPr>
              <w:t>Total</w:t>
            </w:r>
          </w:p>
        </w:tc>
        <w:tc>
          <w:tcPr>
            <w:tcW w:w="2363" w:type="dxa"/>
            <w:tcBorders>
              <w:bottom w:val="single" w:sz="4" w:space="0" w:color="000000"/>
            </w:tcBorders>
          </w:tcPr>
          <w:p w14:paraId="74B53289" w14:textId="77777777" w:rsidR="00A971F1" w:rsidRDefault="00A971F1" w:rsidP="00473FA1">
            <w:pPr>
              <w:pBdr>
                <w:top w:val="nil"/>
                <w:left w:val="nil"/>
                <w:bottom w:val="nil"/>
                <w:right w:val="nil"/>
                <w:between w:val="nil"/>
              </w:pBdr>
              <w:spacing w:line="240" w:lineRule="auto"/>
              <w:contextualSpacing/>
              <w:rPr>
                <w:color w:val="000000"/>
              </w:rPr>
            </w:pPr>
          </w:p>
        </w:tc>
      </w:tr>
      <w:tr w:rsidR="00A971F1" w14:paraId="1BD3282F" w14:textId="77777777" w:rsidTr="00473FA1">
        <w:trPr>
          <w:trHeight w:val="2380"/>
        </w:trPr>
        <w:tc>
          <w:tcPr>
            <w:tcW w:w="11543" w:type="dxa"/>
            <w:gridSpan w:val="3"/>
            <w:tcBorders>
              <w:left w:val="single" w:sz="4" w:space="0" w:color="000000"/>
              <w:bottom w:val="single" w:sz="4" w:space="0" w:color="000000"/>
            </w:tcBorders>
          </w:tcPr>
          <w:p w14:paraId="24C1046A" w14:textId="77777777" w:rsidR="00A971F1" w:rsidRDefault="00A971F1" w:rsidP="00473FA1">
            <w:pPr>
              <w:pBdr>
                <w:top w:val="nil"/>
                <w:left w:val="nil"/>
                <w:bottom w:val="nil"/>
                <w:right w:val="nil"/>
                <w:between w:val="nil"/>
              </w:pBdr>
              <w:rPr>
                <w:color w:val="000000"/>
              </w:rPr>
            </w:pPr>
          </w:p>
        </w:tc>
      </w:tr>
    </w:tbl>
    <w:tbl>
      <w:tblPr>
        <w:tblStyle w:val="a5"/>
        <w:tblW w:w="11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gridCol w:w="2363"/>
      </w:tblGrid>
      <w:tr w:rsidR="00F96C31" w14:paraId="50E1D20B" w14:textId="77777777">
        <w:trPr>
          <w:trHeight w:val="580"/>
        </w:trPr>
        <w:tc>
          <w:tcPr>
            <w:tcW w:w="9288" w:type="dxa"/>
            <w:tcBorders>
              <w:top w:val="nil"/>
              <w:left w:val="nil"/>
              <w:bottom w:val="nil"/>
              <w:right w:val="nil"/>
            </w:tcBorders>
            <w:vAlign w:val="bottom"/>
          </w:tcPr>
          <w:p w14:paraId="0983A5A6" w14:textId="77777777" w:rsidR="00F96C31" w:rsidRDefault="00C14EE5">
            <w:pPr>
              <w:jc w:val="right"/>
              <w:rPr>
                <w:b/>
              </w:rPr>
            </w:pPr>
            <w:r>
              <w:rPr>
                <w:b/>
              </w:rPr>
              <w:t>Total Points Awarded</w:t>
            </w:r>
          </w:p>
        </w:tc>
        <w:tc>
          <w:tcPr>
            <w:tcW w:w="2363" w:type="dxa"/>
            <w:tcBorders>
              <w:top w:val="nil"/>
              <w:left w:val="nil"/>
              <w:right w:val="nil"/>
            </w:tcBorders>
          </w:tcPr>
          <w:p w14:paraId="1A768BE7" w14:textId="77777777" w:rsidR="00F96C31" w:rsidRDefault="00F96C31"/>
        </w:tc>
      </w:tr>
    </w:tbl>
    <w:p w14:paraId="0243C186" w14:textId="77777777" w:rsidR="00F96C31" w:rsidRDefault="00F96C31"/>
    <w:sectPr w:rsidR="00F96C31" w:rsidSect="00613C92">
      <w:headerReference w:type="even" r:id="rId7"/>
      <w:headerReference w:type="default" r:id="rId8"/>
      <w:footerReference w:type="even" r:id="rId9"/>
      <w:footerReference w:type="default" r:id="rId10"/>
      <w:headerReference w:type="first" r:id="rId11"/>
      <w:footerReference w:type="first" r:id="rId12"/>
      <w:pgSz w:w="12240" w:h="15840" w:code="1"/>
      <w:pgMar w:top="944" w:right="384" w:bottom="670" w:left="421" w:header="36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6A19" w14:textId="77777777" w:rsidR="007A74DC" w:rsidRDefault="007A74DC">
      <w:pPr>
        <w:spacing w:after="0" w:line="240" w:lineRule="auto"/>
      </w:pPr>
      <w:r>
        <w:separator/>
      </w:r>
    </w:p>
  </w:endnote>
  <w:endnote w:type="continuationSeparator" w:id="0">
    <w:p w14:paraId="6E79CAFA" w14:textId="77777777" w:rsidR="007A74DC" w:rsidRDefault="007A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BC79" w14:textId="77777777" w:rsidR="005C0E21" w:rsidRDefault="005C0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0470" w14:textId="77777777" w:rsidR="005C0E21" w:rsidRDefault="005C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AD6A" w14:textId="77777777" w:rsidR="005C0E21" w:rsidRDefault="005C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57F3" w14:textId="77777777" w:rsidR="007A74DC" w:rsidRDefault="007A74DC">
      <w:pPr>
        <w:spacing w:after="0" w:line="240" w:lineRule="auto"/>
      </w:pPr>
      <w:r>
        <w:separator/>
      </w:r>
    </w:p>
  </w:footnote>
  <w:footnote w:type="continuationSeparator" w:id="0">
    <w:p w14:paraId="4F3FE8E4" w14:textId="77777777" w:rsidR="007A74DC" w:rsidRDefault="007A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E3EF" w14:textId="77777777" w:rsidR="005C0E21" w:rsidRDefault="005C0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58D7" w14:textId="601018DB" w:rsidR="00F96C31" w:rsidRDefault="00C14EE5">
    <w:pPr>
      <w:pBdr>
        <w:top w:val="nil"/>
        <w:left w:val="nil"/>
        <w:bottom w:val="nil"/>
        <w:right w:val="nil"/>
        <w:between w:val="nil"/>
      </w:pBdr>
      <w:spacing w:after="0" w:line="240" w:lineRule="auto"/>
      <w:jc w:val="center"/>
      <w:rPr>
        <w:color w:val="000000"/>
        <w:sz w:val="23"/>
        <w:szCs w:val="23"/>
      </w:rPr>
    </w:pPr>
    <w:r>
      <w:rPr>
        <w:b/>
        <w:color w:val="000000"/>
        <w:sz w:val="23"/>
        <w:szCs w:val="23"/>
      </w:rPr>
      <w:t xml:space="preserve">San Bernardino County </w:t>
    </w:r>
    <w:proofErr w:type="spellStart"/>
    <w:r>
      <w:rPr>
        <w:b/>
        <w:color w:val="000000"/>
        <w:sz w:val="23"/>
        <w:szCs w:val="23"/>
      </w:rPr>
      <w:t>CoC</w:t>
    </w:r>
    <w:proofErr w:type="spellEnd"/>
    <w:r>
      <w:rPr>
        <w:b/>
        <w:color w:val="000000"/>
        <w:sz w:val="23"/>
        <w:szCs w:val="23"/>
      </w:rPr>
      <w:t xml:space="preserve"> 20</w:t>
    </w:r>
    <w:r w:rsidR="00E36CF2">
      <w:rPr>
        <w:b/>
        <w:color w:val="000000"/>
        <w:sz w:val="23"/>
        <w:szCs w:val="23"/>
      </w:rPr>
      <w:t>21</w:t>
    </w:r>
    <w:r w:rsidR="008073A9">
      <w:rPr>
        <w:b/>
        <w:color w:val="000000"/>
        <w:sz w:val="23"/>
        <w:szCs w:val="23"/>
      </w:rPr>
      <w:t xml:space="preserve"> CoC</w:t>
    </w:r>
    <w:r w:rsidR="00EF1CB5" w:rsidRPr="002B0B62">
      <w:rPr>
        <w:b/>
        <w:color w:val="000000"/>
        <w:sz w:val="23"/>
        <w:szCs w:val="23"/>
        <w:u w:val="single"/>
      </w:rPr>
      <w:t xml:space="preserve"> </w:t>
    </w:r>
    <w:r w:rsidRPr="002B0B62">
      <w:rPr>
        <w:b/>
        <w:color w:val="000000"/>
        <w:sz w:val="23"/>
        <w:szCs w:val="23"/>
        <w:u w:val="single"/>
      </w:rPr>
      <w:t>Bonus</w:t>
    </w:r>
    <w:r>
      <w:rPr>
        <w:b/>
        <w:color w:val="000000"/>
        <w:sz w:val="23"/>
        <w:szCs w:val="23"/>
      </w:rPr>
      <w:t xml:space="preserve"> Project Scoring Guideline</w:t>
    </w:r>
  </w:p>
  <w:p w14:paraId="31F61423" w14:textId="77777777" w:rsidR="00F96C31" w:rsidRDefault="00F96C3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2EFB" w14:textId="77777777" w:rsidR="005C0E21" w:rsidRDefault="005C0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875"/>
    <w:multiLevelType w:val="hybridMultilevel"/>
    <w:tmpl w:val="B6B49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327"/>
    <w:multiLevelType w:val="multilevel"/>
    <w:tmpl w:val="FAFE9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845DCC"/>
    <w:multiLevelType w:val="multilevel"/>
    <w:tmpl w:val="5A4A5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CC0880"/>
    <w:multiLevelType w:val="multilevel"/>
    <w:tmpl w:val="FED4C342"/>
    <w:lvl w:ilvl="0">
      <w:start w:val="1"/>
      <w:numFmt w:val="bullet"/>
      <w:lvlText w:val=""/>
      <w:lvlJc w:val="left"/>
      <w:pPr>
        <w:ind w:left="360" w:hanging="360"/>
      </w:pPr>
      <w:rPr>
        <w:rFonts w:ascii="Wingdings" w:hAnsi="Wingdings" w:hint="default"/>
        <w:b/>
        <w:bCs/>
      </w:rPr>
    </w:lvl>
    <w:lvl w:ilvl="1">
      <w:start w:va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9C4140"/>
    <w:multiLevelType w:val="multilevel"/>
    <w:tmpl w:val="E6DC09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F86DF9"/>
    <w:multiLevelType w:val="multilevel"/>
    <w:tmpl w:val="7BB08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11127E2"/>
    <w:multiLevelType w:val="hybridMultilevel"/>
    <w:tmpl w:val="9252D4A6"/>
    <w:lvl w:ilvl="0" w:tplc="7A74462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21DF1"/>
    <w:multiLevelType w:val="hybridMultilevel"/>
    <w:tmpl w:val="E42CF6F4"/>
    <w:lvl w:ilvl="0" w:tplc="7A74462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70ECD"/>
    <w:multiLevelType w:val="multilevel"/>
    <w:tmpl w:val="00481B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EE44F58"/>
    <w:multiLevelType w:val="multilevel"/>
    <w:tmpl w:val="3ACE4A6C"/>
    <w:lvl w:ilvl="0">
      <w:start w:val="1"/>
      <w:numFmt w:val="bullet"/>
      <w:lvlText w:val=""/>
      <w:lvlJc w:val="left"/>
      <w:pPr>
        <w:ind w:left="360" w:hanging="360"/>
      </w:pPr>
      <w:rPr>
        <w:rFonts w:ascii="Wingdings" w:hAnsi="Wingdings" w:hint="default"/>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39505F1"/>
    <w:multiLevelType w:val="hybridMultilevel"/>
    <w:tmpl w:val="209C6FCC"/>
    <w:lvl w:ilvl="0" w:tplc="4CDAB37A">
      <w:start w:val="1"/>
      <w:numFmt w:val="bullet"/>
      <w:lvlText w:val=""/>
      <w:lvlJc w:val="left"/>
      <w:pPr>
        <w:ind w:hanging="361"/>
      </w:pPr>
      <w:rPr>
        <w:rFonts w:ascii="Symbol" w:eastAsia="Symbol" w:hAnsi="Symbol" w:hint="default"/>
        <w:sz w:val="22"/>
        <w:szCs w:val="22"/>
      </w:rPr>
    </w:lvl>
    <w:lvl w:ilvl="1" w:tplc="E8BE71F2">
      <w:start w:val="1"/>
      <w:numFmt w:val="bullet"/>
      <w:lvlText w:val="•"/>
      <w:lvlJc w:val="left"/>
      <w:rPr>
        <w:rFonts w:hint="default"/>
      </w:rPr>
    </w:lvl>
    <w:lvl w:ilvl="2" w:tplc="CBC85C84">
      <w:start w:val="1"/>
      <w:numFmt w:val="bullet"/>
      <w:lvlText w:val="•"/>
      <w:lvlJc w:val="left"/>
      <w:rPr>
        <w:rFonts w:hint="default"/>
      </w:rPr>
    </w:lvl>
    <w:lvl w:ilvl="3" w:tplc="C3145CE2">
      <w:start w:val="1"/>
      <w:numFmt w:val="bullet"/>
      <w:lvlText w:val="•"/>
      <w:lvlJc w:val="left"/>
      <w:rPr>
        <w:rFonts w:hint="default"/>
      </w:rPr>
    </w:lvl>
    <w:lvl w:ilvl="4" w:tplc="D36EB98E">
      <w:start w:val="1"/>
      <w:numFmt w:val="bullet"/>
      <w:lvlText w:val="•"/>
      <w:lvlJc w:val="left"/>
      <w:rPr>
        <w:rFonts w:hint="default"/>
      </w:rPr>
    </w:lvl>
    <w:lvl w:ilvl="5" w:tplc="0BFE558A">
      <w:start w:val="1"/>
      <w:numFmt w:val="bullet"/>
      <w:lvlText w:val="•"/>
      <w:lvlJc w:val="left"/>
      <w:rPr>
        <w:rFonts w:hint="default"/>
      </w:rPr>
    </w:lvl>
    <w:lvl w:ilvl="6" w:tplc="0A081322">
      <w:start w:val="1"/>
      <w:numFmt w:val="bullet"/>
      <w:lvlText w:val="•"/>
      <w:lvlJc w:val="left"/>
      <w:rPr>
        <w:rFonts w:hint="default"/>
      </w:rPr>
    </w:lvl>
    <w:lvl w:ilvl="7" w:tplc="60D2B2FE">
      <w:start w:val="1"/>
      <w:numFmt w:val="bullet"/>
      <w:lvlText w:val="•"/>
      <w:lvlJc w:val="left"/>
      <w:rPr>
        <w:rFonts w:hint="default"/>
      </w:rPr>
    </w:lvl>
    <w:lvl w:ilvl="8" w:tplc="2CF0565A">
      <w:start w:val="1"/>
      <w:numFmt w:val="bullet"/>
      <w:lvlText w:val="•"/>
      <w:lvlJc w:val="left"/>
      <w:rPr>
        <w:rFonts w:hint="default"/>
      </w:rPr>
    </w:lvl>
  </w:abstractNum>
  <w:num w:numId="1">
    <w:abstractNumId w:val="4"/>
  </w:num>
  <w:num w:numId="2">
    <w:abstractNumId w:val="5"/>
  </w:num>
  <w:num w:numId="3">
    <w:abstractNumId w:val="2"/>
  </w:num>
  <w:num w:numId="4">
    <w:abstractNumId w:val="3"/>
  </w:num>
  <w:num w:numId="5">
    <w:abstractNumId w:val="8"/>
  </w:num>
  <w:num w:numId="6">
    <w:abstractNumId w:val="1"/>
  </w:num>
  <w:num w:numId="7">
    <w:abstractNumId w:val="10"/>
  </w:num>
  <w:num w:numId="8">
    <w:abstractNumId w:val="0"/>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31"/>
    <w:rsid w:val="000962BD"/>
    <w:rsid w:val="000B3120"/>
    <w:rsid w:val="000E4EF8"/>
    <w:rsid w:val="001C31FC"/>
    <w:rsid w:val="001C43A9"/>
    <w:rsid w:val="001E1516"/>
    <w:rsid w:val="001E185F"/>
    <w:rsid w:val="002169E9"/>
    <w:rsid w:val="00253ECE"/>
    <w:rsid w:val="002B0B62"/>
    <w:rsid w:val="002D1B9F"/>
    <w:rsid w:val="0032338D"/>
    <w:rsid w:val="003557F2"/>
    <w:rsid w:val="00365148"/>
    <w:rsid w:val="0046081B"/>
    <w:rsid w:val="004879A4"/>
    <w:rsid w:val="004A7AF2"/>
    <w:rsid w:val="004C76D4"/>
    <w:rsid w:val="004D2DA9"/>
    <w:rsid w:val="005A191D"/>
    <w:rsid w:val="005B0E83"/>
    <w:rsid w:val="005C0E21"/>
    <w:rsid w:val="005D2E65"/>
    <w:rsid w:val="00613C92"/>
    <w:rsid w:val="00662F42"/>
    <w:rsid w:val="006A16C6"/>
    <w:rsid w:val="006B721F"/>
    <w:rsid w:val="006E3081"/>
    <w:rsid w:val="0070055A"/>
    <w:rsid w:val="00701B8C"/>
    <w:rsid w:val="007A74DC"/>
    <w:rsid w:val="007B58DA"/>
    <w:rsid w:val="008073A9"/>
    <w:rsid w:val="008329FF"/>
    <w:rsid w:val="0085689B"/>
    <w:rsid w:val="00866BAD"/>
    <w:rsid w:val="008E4B83"/>
    <w:rsid w:val="009E34CD"/>
    <w:rsid w:val="00A114DC"/>
    <w:rsid w:val="00A13629"/>
    <w:rsid w:val="00A13D86"/>
    <w:rsid w:val="00A40A3E"/>
    <w:rsid w:val="00A971F1"/>
    <w:rsid w:val="00AA03C0"/>
    <w:rsid w:val="00AC5084"/>
    <w:rsid w:val="00AE71E8"/>
    <w:rsid w:val="00BB0088"/>
    <w:rsid w:val="00BB41D6"/>
    <w:rsid w:val="00C14EE5"/>
    <w:rsid w:val="00C40198"/>
    <w:rsid w:val="00C76A8B"/>
    <w:rsid w:val="00C97318"/>
    <w:rsid w:val="00DA2771"/>
    <w:rsid w:val="00DC2579"/>
    <w:rsid w:val="00DF67A9"/>
    <w:rsid w:val="00E36CF2"/>
    <w:rsid w:val="00E87C04"/>
    <w:rsid w:val="00EE502E"/>
    <w:rsid w:val="00EF1CB5"/>
    <w:rsid w:val="00F5642F"/>
    <w:rsid w:val="00F74C00"/>
    <w:rsid w:val="00F96C31"/>
    <w:rsid w:val="00FD3A1A"/>
    <w:rsid w:val="00FD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E53573"/>
  <w15:docId w15:val="{F25E0C53-B7F0-4B3E-9A53-5CB96BCC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1F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F1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B5"/>
  </w:style>
  <w:style w:type="paragraph" w:styleId="Footer">
    <w:name w:val="footer"/>
    <w:basedOn w:val="Normal"/>
    <w:link w:val="FooterChar"/>
    <w:uiPriority w:val="99"/>
    <w:unhideWhenUsed/>
    <w:rsid w:val="00EF1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B5"/>
  </w:style>
  <w:style w:type="paragraph" w:styleId="BodyText">
    <w:name w:val="Body Text"/>
    <w:basedOn w:val="Normal"/>
    <w:link w:val="BodyTextChar"/>
    <w:uiPriority w:val="99"/>
    <w:unhideWhenUsed/>
    <w:rsid w:val="00EF1CB5"/>
    <w:pPr>
      <w:spacing w:after="120"/>
    </w:pPr>
  </w:style>
  <w:style w:type="character" w:customStyle="1" w:styleId="BodyTextChar">
    <w:name w:val="Body Text Char"/>
    <w:basedOn w:val="DefaultParagraphFont"/>
    <w:link w:val="BodyText"/>
    <w:uiPriority w:val="99"/>
    <w:rsid w:val="00EF1CB5"/>
  </w:style>
  <w:style w:type="table" w:styleId="TableGrid">
    <w:name w:val="Table Grid"/>
    <w:basedOn w:val="TableNormal"/>
    <w:uiPriority w:val="39"/>
    <w:rsid w:val="002B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9FF"/>
    <w:pPr>
      <w:ind w:left="720"/>
      <w:contextualSpacing/>
    </w:pPr>
  </w:style>
  <w:style w:type="paragraph" w:styleId="BalloonText">
    <w:name w:val="Balloon Text"/>
    <w:basedOn w:val="Normal"/>
    <w:link w:val="BalloonTextChar"/>
    <w:uiPriority w:val="99"/>
    <w:semiHidden/>
    <w:unhideWhenUsed/>
    <w:rsid w:val="00613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92"/>
    <w:rPr>
      <w:rFonts w:ascii="Segoe UI" w:hAnsi="Segoe UI" w:cs="Segoe UI"/>
      <w:sz w:val="18"/>
      <w:szCs w:val="18"/>
    </w:rPr>
  </w:style>
  <w:style w:type="character" w:styleId="CommentReference">
    <w:name w:val="annotation reference"/>
    <w:basedOn w:val="DefaultParagraphFont"/>
    <w:uiPriority w:val="99"/>
    <w:semiHidden/>
    <w:unhideWhenUsed/>
    <w:rsid w:val="00EE502E"/>
    <w:rPr>
      <w:sz w:val="16"/>
      <w:szCs w:val="16"/>
    </w:rPr>
  </w:style>
  <w:style w:type="paragraph" w:styleId="CommentText">
    <w:name w:val="annotation text"/>
    <w:basedOn w:val="Normal"/>
    <w:link w:val="CommentTextChar"/>
    <w:uiPriority w:val="99"/>
    <w:semiHidden/>
    <w:unhideWhenUsed/>
    <w:rsid w:val="00EE502E"/>
    <w:pPr>
      <w:spacing w:line="240" w:lineRule="auto"/>
    </w:pPr>
    <w:rPr>
      <w:sz w:val="20"/>
      <w:szCs w:val="20"/>
    </w:rPr>
  </w:style>
  <w:style w:type="character" w:customStyle="1" w:styleId="CommentTextChar">
    <w:name w:val="Comment Text Char"/>
    <w:basedOn w:val="DefaultParagraphFont"/>
    <w:link w:val="CommentText"/>
    <w:uiPriority w:val="99"/>
    <w:semiHidden/>
    <w:rsid w:val="00EE502E"/>
    <w:rPr>
      <w:sz w:val="20"/>
      <w:szCs w:val="20"/>
    </w:rPr>
  </w:style>
  <w:style w:type="paragraph" w:styleId="CommentSubject">
    <w:name w:val="annotation subject"/>
    <w:basedOn w:val="CommentText"/>
    <w:next w:val="CommentText"/>
    <w:link w:val="CommentSubjectChar"/>
    <w:uiPriority w:val="99"/>
    <w:semiHidden/>
    <w:unhideWhenUsed/>
    <w:rsid w:val="00EE502E"/>
    <w:rPr>
      <w:b/>
      <w:bCs/>
    </w:rPr>
  </w:style>
  <w:style w:type="character" w:customStyle="1" w:styleId="CommentSubjectChar">
    <w:name w:val="Comment Subject Char"/>
    <w:basedOn w:val="CommentTextChar"/>
    <w:link w:val="CommentSubject"/>
    <w:uiPriority w:val="99"/>
    <w:semiHidden/>
    <w:rsid w:val="00EE5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Hamilton</dc:creator>
  <cp:lastModifiedBy>Aguirre, Betty</cp:lastModifiedBy>
  <cp:revision>3</cp:revision>
  <cp:lastPrinted>2019-08-14T23:36:00Z</cp:lastPrinted>
  <dcterms:created xsi:type="dcterms:W3CDTF">2021-09-29T22:20:00Z</dcterms:created>
  <dcterms:modified xsi:type="dcterms:W3CDTF">2021-09-29T22:22:00Z</dcterms:modified>
</cp:coreProperties>
</file>