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EE1E" w14:textId="3DD6ECF4" w:rsidR="00A64D63" w:rsidRDefault="00FF468E" w:rsidP="00A64D63">
      <w:pPr>
        <w:pStyle w:val="Heading1"/>
        <w:rPr>
          <w:rFonts w:cs="Arial"/>
          <w:sz w:val="22"/>
          <w:szCs w:val="22"/>
          <w:lang w:val="en-US"/>
        </w:rPr>
      </w:pPr>
      <w:r>
        <w:rPr>
          <w:rFonts w:cs="Arial"/>
          <w:sz w:val="22"/>
          <w:szCs w:val="22"/>
          <w:lang w:val="en-US"/>
        </w:rPr>
        <w:t>MEMORANDUM OF UNDERSTANDING</w:t>
      </w:r>
    </w:p>
    <w:p w14:paraId="794D27C0" w14:textId="1458FE6D" w:rsidR="00FF468E" w:rsidRDefault="00FF468E" w:rsidP="00FF468E">
      <w:pPr>
        <w:jc w:val="center"/>
        <w:rPr>
          <w:lang w:eastAsia="x-none"/>
        </w:rPr>
      </w:pPr>
      <w:r>
        <w:rPr>
          <w:lang w:eastAsia="x-none"/>
        </w:rPr>
        <w:t>BETWEEN [DEPARTMENT] (COVERED ENTITY)</w:t>
      </w:r>
    </w:p>
    <w:p w14:paraId="3525567E" w14:textId="5C662570" w:rsidR="00FF468E" w:rsidRPr="00FF468E" w:rsidRDefault="00FF468E" w:rsidP="00FF468E">
      <w:pPr>
        <w:jc w:val="center"/>
        <w:rPr>
          <w:lang w:eastAsia="x-none"/>
        </w:rPr>
      </w:pPr>
      <w:r>
        <w:rPr>
          <w:lang w:eastAsia="x-none"/>
        </w:rPr>
        <w:t>AND [DEPARTMENT] (INTERNAL BUSINESS ASSOCIATE)</w:t>
      </w:r>
    </w:p>
    <w:p w14:paraId="02A6D4D0" w14:textId="77777777" w:rsidR="00A64D63" w:rsidRPr="002C5D58" w:rsidRDefault="00A64D63" w:rsidP="00A64D63">
      <w:pPr>
        <w:jc w:val="both"/>
        <w:rPr>
          <w:rFonts w:cs="Arial"/>
          <w:szCs w:val="22"/>
        </w:rPr>
      </w:pPr>
      <w:r w:rsidRPr="002C5D58">
        <w:rPr>
          <w:rFonts w:cs="Arial"/>
          <w:szCs w:val="22"/>
        </w:rPr>
        <w:t xml:space="preserve"> </w:t>
      </w:r>
    </w:p>
    <w:p w14:paraId="553EE6DC" w14:textId="1168E0A9" w:rsidR="00A64D63" w:rsidRPr="002C5D58" w:rsidRDefault="0055196A" w:rsidP="00A64D63">
      <w:pPr>
        <w:pStyle w:val="BodyText"/>
        <w:jc w:val="both"/>
        <w:rPr>
          <w:rFonts w:cs="Arial"/>
          <w:sz w:val="22"/>
          <w:szCs w:val="22"/>
          <w:lang w:val="en-US"/>
        </w:rPr>
      </w:pPr>
      <w:r w:rsidRPr="002C5D58">
        <w:rPr>
          <w:rFonts w:cs="Arial"/>
          <w:sz w:val="22"/>
          <w:szCs w:val="22"/>
          <w:lang w:val="en-US"/>
        </w:rPr>
        <w:t xml:space="preserve">This </w:t>
      </w:r>
      <w:r w:rsidR="00FF468E">
        <w:rPr>
          <w:rFonts w:cs="Arial"/>
          <w:sz w:val="22"/>
          <w:szCs w:val="22"/>
          <w:lang w:val="en-US"/>
        </w:rPr>
        <w:t>Memorandum of Understanding</w:t>
      </w:r>
      <w:r w:rsidRPr="002C5D58">
        <w:rPr>
          <w:rFonts w:cs="Arial"/>
          <w:sz w:val="22"/>
          <w:szCs w:val="22"/>
          <w:lang w:val="en-US"/>
        </w:rPr>
        <w:t xml:space="preserve"> (</w:t>
      </w:r>
      <w:r w:rsidR="00FF468E">
        <w:rPr>
          <w:rFonts w:cs="Arial"/>
          <w:sz w:val="22"/>
          <w:szCs w:val="22"/>
          <w:lang w:val="en-US"/>
        </w:rPr>
        <w:t>MOU</w:t>
      </w:r>
      <w:r w:rsidRPr="002C5D58">
        <w:rPr>
          <w:rFonts w:cs="Arial"/>
          <w:sz w:val="22"/>
          <w:szCs w:val="22"/>
          <w:lang w:val="en-US"/>
        </w:rPr>
        <w:t xml:space="preserve">) </w:t>
      </w:r>
      <w:r w:rsidR="00A656E8" w:rsidRPr="002C5D58">
        <w:rPr>
          <w:rFonts w:cs="Arial"/>
          <w:sz w:val="22"/>
          <w:szCs w:val="22"/>
          <w:lang w:val="en-US"/>
        </w:rPr>
        <w:t xml:space="preserve">is entered into </w:t>
      </w:r>
      <w:r w:rsidRPr="002C5D58">
        <w:rPr>
          <w:rFonts w:cs="Arial"/>
          <w:sz w:val="22"/>
          <w:szCs w:val="22"/>
          <w:lang w:val="en-US"/>
        </w:rPr>
        <w:t>by and between the [DEPARTMENT] (hereinafter Covered Entity) and [</w:t>
      </w:r>
      <w:r w:rsidR="00FF468E">
        <w:rPr>
          <w:rFonts w:cs="Arial"/>
          <w:sz w:val="22"/>
          <w:szCs w:val="22"/>
          <w:lang w:val="en-US"/>
        </w:rPr>
        <w:t>DEPARTMENT</w:t>
      </w:r>
      <w:r w:rsidRPr="002C5D58">
        <w:rPr>
          <w:rFonts w:cs="Arial"/>
          <w:sz w:val="22"/>
          <w:szCs w:val="22"/>
          <w:lang w:val="en-US"/>
        </w:rPr>
        <w:t xml:space="preserve">] (hereinafter </w:t>
      </w:r>
      <w:r w:rsidR="00FF468E">
        <w:rPr>
          <w:rFonts w:cs="Arial"/>
          <w:sz w:val="22"/>
          <w:szCs w:val="22"/>
          <w:lang w:val="en-US"/>
        </w:rPr>
        <w:t xml:space="preserve">Internal </w:t>
      </w:r>
      <w:r w:rsidRPr="002C5D58">
        <w:rPr>
          <w:rFonts w:cs="Arial"/>
          <w:sz w:val="22"/>
          <w:szCs w:val="22"/>
          <w:lang w:val="en-US"/>
        </w:rPr>
        <w:t xml:space="preserve">Business Associate).  </w:t>
      </w:r>
    </w:p>
    <w:p w14:paraId="013D0938" w14:textId="01C1CA18" w:rsidR="0055196A" w:rsidRPr="002C5D58" w:rsidRDefault="00206479" w:rsidP="002C5D58">
      <w:pPr>
        <w:pStyle w:val="BodyText"/>
        <w:jc w:val="center"/>
        <w:rPr>
          <w:rFonts w:cs="Arial"/>
          <w:b/>
          <w:sz w:val="22"/>
          <w:szCs w:val="22"/>
          <w:lang w:val="en-US"/>
        </w:rPr>
      </w:pPr>
      <w:r w:rsidRPr="002C5D58">
        <w:rPr>
          <w:rFonts w:cs="Arial"/>
          <w:b/>
          <w:sz w:val="22"/>
          <w:szCs w:val="22"/>
          <w:lang w:val="en-US"/>
        </w:rPr>
        <w:t>RECITALS</w:t>
      </w:r>
    </w:p>
    <w:p w14:paraId="0272A369" w14:textId="372B6199" w:rsidR="00206479" w:rsidRDefault="00206479" w:rsidP="002C5D58">
      <w:pPr>
        <w:pStyle w:val="BodyText"/>
        <w:spacing w:after="0"/>
        <w:jc w:val="both"/>
        <w:rPr>
          <w:rFonts w:cs="Arial"/>
          <w:sz w:val="22"/>
          <w:szCs w:val="22"/>
          <w:lang w:val="en-US"/>
        </w:rPr>
      </w:pPr>
      <w:r w:rsidRPr="002C5D58">
        <w:rPr>
          <w:rFonts w:cs="Arial"/>
          <w:b/>
          <w:sz w:val="22"/>
          <w:szCs w:val="22"/>
          <w:lang w:val="en-US"/>
        </w:rPr>
        <w:t xml:space="preserve">WHEREAS, </w:t>
      </w:r>
      <w:r w:rsidRPr="002C5D58">
        <w:rPr>
          <w:rFonts w:cs="Arial"/>
          <w:sz w:val="22"/>
          <w:szCs w:val="22"/>
          <w:lang w:val="en-US"/>
        </w:rPr>
        <w:t>Covered</w:t>
      </w:r>
      <w:r w:rsidRPr="002C5D58">
        <w:rPr>
          <w:rFonts w:cs="Arial"/>
          <w:b/>
          <w:sz w:val="22"/>
          <w:szCs w:val="22"/>
          <w:lang w:val="en-US"/>
        </w:rPr>
        <w:t xml:space="preserve"> </w:t>
      </w:r>
      <w:r w:rsidRPr="002C5D58">
        <w:rPr>
          <w:rFonts w:cs="Arial"/>
          <w:sz w:val="22"/>
          <w:szCs w:val="22"/>
          <w:lang w:val="en-US"/>
        </w:rPr>
        <w:t xml:space="preserve">Entity </w:t>
      </w:r>
      <w:r w:rsidR="00D23389" w:rsidRPr="002C5D58">
        <w:rPr>
          <w:rFonts w:cs="Arial"/>
          <w:sz w:val="22"/>
          <w:szCs w:val="22"/>
          <w:lang w:val="en-US"/>
        </w:rPr>
        <w:t xml:space="preserve">(CE) </w:t>
      </w:r>
      <w:r w:rsidRPr="002C5D58">
        <w:rPr>
          <w:rFonts w:cs="Arial"/>
          <w:sz w:val="22"/>
          <w:szCs w:val="22"/>
          <w:lang w:val="en-US"/>
        </w:rPr>
        <w:t xml:space="preserve">wishes to disclose certain information to </w:t>
      </w:r>
      <w:r w:rsidR="00FF468E">
        <w:rPr>
          <w:rFonts w:cs="Arial"/>
          <w:sz w:val="22"/>
          <w:szCs w:val="22"/>
          <w:lang w:val="en-US"/>
        </w:rPr>
        <w:t xml:space="preserve">Internal </w:t>
      </w:r>
      <w:r w:rsidRPr="002C5D58">
        <w:rPr>
          <w:rFonts w:cs="Arial"/>
          <w:sz w:val="22"/>
          <w:szCs w:val="22"/>
          <w:lang w:val="en-US"/>
        </w:rPr>
        <w:t xml:space="preserve">Business Associate </w:t>
      </w:r>
      <w:r w:rsidR="00D23389" w:rsidRPr="002C5D58">
        <w:rPr>
          <w:rFonts w:cs="Arial"/>
          <w:sz w:val="22"/>
          <w:szCs w:val="22"/>
          <w:lang w:val="en-US"/>
        </w:rPr>
        <w:t xml:space="preserve">(BA) </w:t>
      </w:r>
      <w:r w:rsidR="00A656E8" w:rsidRPr="002C5D58">
        <w:rPr>
          <w:rFonts w:cs="Arial"/>
          <w:sz w:val="22"/>
          <w:szCs w:val="22"/>
          <w:lang w:val="en-US"/>
        </w:rPr>
        <w:t>for the purposes of _____________________</w:t>
      </w:r>
      <w:r w:rsidRPr="002C5D58">
        <w:rPr>
          <w:rFonts w:cs="Arial"/>
          <w:sz w:val="22"/>
          <w:szCs w:val="22"/>
          <w:lang w:val="en-US"/>
        </w:rPr>
        <w:t xml:space="preserve">, which may </w:t>
      </w:r>
      <w:r w:rsidR="0072395C" w:rsidRPr="002C5D58">
        <w:rPr>
          <w:rFonts w:cs="Arial"/>
          <w:sz w:val="22"/>
          <w:szCs w:val="22"/>
          <w:lang w:val="en-US"/>
        </w:rPr>
        <w:t>include</w:t>
      </w:r>
      <w:r w:rsidRPr="002C5D58">
        <w:rPr>
          <w:rFonts w:cs="Arial"/>
          <w:sz w:val="22"/>
          <w:szCs w:val="22"/>
          <w:lang w:val="en-US"/>
        </w:rPr>
        <w:t xml:space="preserve"> Protected Health Information (PHI)</w:t>
      </w:r>
      <w:r w:rsidR="00D13373">
        <w:rPr>
          <w:rFonts w:cs="Arial"/>
          <w:sz w:val="22"/>
          <w:szCs w:val="22"/>
          <w:lang w:val="en-US"/>
        </w:rPr>
        <w:t>, to perform functions and/or services for or on behalf of the CE or as otherwise stated in this MOU</w:t>
      </w:r>
      <w:r w:rsidRPr="002C5D58">
        <w:rPr>
          <w:rFonts w:cs="Arial"/>
          <w:sz w:val="22"/>
          <w:szCs w:val="22"/>
          <w:lang w:val="en-US"/>
        </w:rPr>
        <w:t>; and</w:t>
      </w:r>
    </w:p>
    <w:p w14:paraId="4322B197" w14:textId="5DE2C585" w:rsidR="00FF468E" w:rsidRDefault="00FF468E" w:rsidP="002C5D58">
      <w:pPr>
        <w:pStyle w:val="BodyText"/>
        <w:spacing w:after="0"/>
        <w:jc w:val="both"/>
        <w:rPr>
          <w:rFonts w:cs="Arial"/>
          <w:sz w:val="22"/>
          <w:szCs w:val="22"/>
          <w:lang w:val="en-US"/>
        </w:rPr>
      </w:pPr>
    </w:p>
    <w:p w14:paraId="5FC07075" w14:textId="267A1215" w:rsidR="00FF468E" w:rsidRPr="00FF468E" w:rsidRDefault="00FF468E" w:rsidP="002C5D58">
      <w:pPr>
        <w:pStyle w:val="BodyText"/>
        <w:spacing w:after="0"/>
        <w:jc w:val="both"/>
        <w:rPr>
          <w:rFonts w:cs="Arial"/>
          <w:sz w:val="22"/>
          <w:szCs w:val="22"/>
          <w:lang w:val="en-US"/>
        </w:rPr>
      </w:pPr>
      <w:r>
        <w:rPr>
          <w:rFonts w:cs="Arial"/>
          <w:b/>
          <w:sz w:val="22"/>
          <w:szCs w:val="22"/>
          <w:lang w:val="en-US"/>
        </w:rPr>
        <w:t>WHEREAS</w:t>
      </w:r>
      <w:r>
        <w:rPr>
          <w:rFonts w:cs="Arial"/>
          <w:sz w:val="22"/>
          <w:szCs w:val="22"/>
          <w:lang w:val="en-US"/>
        </w:rPr>
        <w:t xml:space="preserve">, both CE and BA are departments of </w:t>
      </w:r>
      <w:r w:rsidR="00405EBA">
        <w:rPr>
          <w:rFonts w:cs="Arial"/>
          <w:sz w:val="22"/>
          <w:szCs w:val="22"/>
          <w:lang w:val="en-US"/>
        </w:rPr>
        <w:t xml:space="preserve">San Bernardino </w:t>
      </w:r>
      <w:r>
        <w:rPr>
          <w:rFonts w:cs="Arial"/>
          <w:sz w:val="22"/>
          <w:szCs w:val="22"/>
          <w:lang w:val="en-US"/>
        </w:rPr>
        <w:t>County (County) and are included within the County’s designated Health Care Component; and</w:t>
      </w:r>
    </w:p>
    <w:p w14:paraId="3189B1CA" w14:textId="0A765BBE" w:rsidR="00206479" w:rsidRPr="002C5D58" w:rsidRDefault="00206479" w:rsidP="002C5D58">
      <w:pPr>
        <w:pStyle w:val="BodyText"/>
        <w:spacing w:after="0"/>
        <w:jc w:val="both"/>
        <w:rPr>
          <w:rFonts w:cs="Arial"/>
          <w:sz w:val="22"/>
          <w:szCs w:val="22"/>
          <w:lang w:val="en-US"/>
        </w:rPr>
      </w:pPr>
    </w:p>
    <w:p w14:paraId="79AA34D4" w14:textId="0CF54B8E" w:rsidR="00206479" w:rsidRPr="002C5D58" w:rsidRDefault="00206479" w:rsidP="002C5D58">
      <w:pPr>
        <w:pStyle w:val="BodyText"/>
        <w:spacing w:after="0"/>
        <w:jc w:val="both"/>
        <w:rPr>
          <w:rFonts w:cs="Arial"/>
          <w:sz w:val="22"/>
          <w:szCs w:val="22"/>
          <w:lang w:val="en-US"/>
        </w:rPr>
      </w:pPr>
      <w:r w:rsidRPr="002C5D58">
        <w:rPr>
          <w:rFonts w:cs="Arial"/>
          <w:b/>
          <w:sz w:val="22"/>
          <w:szCs w:val="22"/>
          <w:lang w:val="en-US"/>
        </w:rPr>
        <w:t>WHEREAS</w:t>
      </w:r>
      <w:r w:rsidRPr="002C5D58">
        <w:rPr>
          <w:rFonts w:cs="Arial"/>
          <w:sz w:val="22"/>
          <w:szCs w:val="22"/>
          <w:lang w:val="en-US"/>
        </w:rPr>
        <w:t xml:space="preserve">, CE and BA intend to protect the privacy and provide for the security of the PHI disclosed to BA in compliance with the Health Insurance Portability and Accountability Act of 1996, Public Law 104-191 (HIPAA), </w:t>
      </w:r>
      <w:r w:rsidR="00D13373">
        <w:rPr>
          <w:rFonts w:cs="Arial"/>
          <w:sz w:val="22"/>
          <w:szCs w:val="22"/>
          <w:lang w:val="en-US"/>
        </w:rPr>
        <w:t xml:space="preserve">as amended, </w:t>
      </w:r>
      <w:r w:rsidRPr="002C5D58">
        <w:rPr>
          <w:rFonts w:cs="Arial"/>
          <w:sz w:val="22"/>
          <w:szCs w:val="22"/>
          <w:lang w:val="en-US"/>
        </w:rPr>
        <w:t>the Health Information Technology for Economic and Clinical Health Act, Public Law 111-005 (HITECH Act)</w:t>
      </w:r>
      <w:r w:rsidR="00E257F0" w:rsidRPr="002C5D58">
        <w:rPr>
          <w:rFonts w:cs="Arial"/>
          <w:sz w:val="22"/>
          <w:szCs w:val="22"/>
          <w:lang w:val="en-US"/>
        </w:rPr>
        <w:t>,</w:t>
      </w:r>
      <w:r w:rsidRPr="002C5D58">
        <w:rPr>
          <w:rFonts w:cs="Arial"/>
          <w:sz w:val="22"/>
          <w:szCs w:val="22"/>
          <w:lang w:val="en-US"/>
        </w:rPr>
        <w:t xml:space="preserve"> </w:t>
      </w:r>
      <w:r w:rsidR="00D13373">
        <w:rPr>
          <w:rFonts w:cs="Arial"/>
          <w:sz w:val="22"/>
          <w:szCs w:val="22"/>
          <w:lang w:val="en-US"/>
        </w:rPr>
        <w:t xml:space="preserve">as amended, </w:t>
      </w:r>
      <w:r w:rsidRPr="002C5D58">
        <w:rPr>
          <w:rFonts w:cs="Arial"/>
          <w:sz w:val="22"/>
          <w:szCs w:val="22"/>
          <w:lang w:val="en-US"/>
        </w:rPr>
        <w:t>their implementing regulations, and other applicable laws; and</w:t>
      </w:r>
    </w:p>
    <w:p w14:paraId="389706BC" w14:textId="14EA3809" w:rsidR="00206479" w:rsidRPr="002C5D58" w:rsidRDefault="00206479" w:rsidP="002C5D58">
      <w:pPr>
        <w:pStyle w:val="BodyText"/>
        <w:spacing w:after="0"/>
        <w:jc w:val="both"/>
        <w:rPr>
          <w:rFonts w:cs="Arial"/>
          <w:sz w:val="22"/>
          <w:szCs w:val="22"/>
          <w:lang w:val="en-US"/>
        </w:rPr>
      </w:pPr>
    </w:p>
    <w:p w14:paraId="78746DA9" w14:textId="34146BF2" w:rsidR="00206479" w:rsidRPr="002C5D58" w:rsidRDefault="00206479" w:rsidP="002C5D58">
      <w:pPr>
        <w:pStyle w:val="BodyText"/>
        <w:spacing w:after="0"/>
        <w:jc w:val="both"/>
        <w:rPr>
          <w:rFonts w:cs="Arial"/>
          <w:sz w:val="22"/>
          <w:szCs w:val="22"/>
          <w:lang w:val="en-US"/>
        </w:rPr>
      </w:pPr>
      <w:r w:rsidRPr="002C5D58">
        <w:rPr>
          <w:rFonts w:cs="Arial"/>
          <w:b/>
          <w:sz w:val="22"/>
          <w:szCs w:val="22"/>
          <w:lang w:val="en-US"/>
        </w:rPr>
        <w:t>WHEREAS</w:t>
      </w:r>
      <w:r w:rsidRPr="002C5D58">
        <w:rPr>
          <w:rFonts w:cs="Arial"/>
          <w:sz w:val="22"/>
          <w:szCs w:val="22"/>
          <w:lang w:val="en-US"/>
        </w:rPr>
        <w:t xml:space="preserve">, </w:t>
      </w:r>
      <w:r w:rsidR="00E257F0" w:rsidRPr="002C5D58">
        <w:rPr>
          <w:rFonts w:cs="Arial"/>
          <w:sz w:val="22"/>
          <w:szCs w:val="22"/>
          <w:lang w:val="en-US"/>
        </w:rPr>
        <w:t>T</w:t>
      </w:r>
      <w:r w:rsidRPr="002C5D58">
        <w:rPr>
          <w:rFonts w:cs="Arial"/>
          <w:sz w:val="22"/>
          <w:szCs w:val="22"/>
          <w:lang w:val="en-US"/>
        </w:rPr>
        <w:t xml:space="preserve">he Privacy Rule and the Security </w:t>
      </w:r>
      <w:r w:rsidR="001E57C2">
        <w:rPr>
          <w:rFonts w:cs="Arial"/>
          <w:sz w:val="22"/>
          <w:szCs w:val="22"/>
          <w:lang w:val="en-US"/>
        </w:rPr>
        <w:t>Rule require CE to enter into an arrangement</w:t>
      </w:r>
      <w:r w:rsidRPr="002C5D58">
        <w:rPr>
          <w:rFonts w:cs="Arial"/>
          <w:sz w:val="22"/>
          <w:szCs w:val="22"/>
          <w:lang w:val="en-US"/>
        </w:rPr>
        <w:t xml:space="preserve"> containing specific requirements with BA prior to the disclosure of PHI, as set forth in, but not limited to, Title 45</w:t>
      </w:r>
      <w:r w:rsidR="001E57C2" w:rsidRPr="001E57C2">
        <w:rPr>
          <w:rFonts w:cs="Arial"/>
          <w:sz w:val="22"/>
          <w:szCs w:val="22"/>
          <w:lang w:val="en-US"/>
        </w:rPr>
        <w:t xml:space="preserve"> </w:t>
      </w:r>
      <w:r w:rsidR="001E57C2" w:rsidRPr="002C5D58">
        <w:rPr>
          <w:rFonts w:cs="Arial"/>
          <w:sz w:val="22"/>
          <w:szCs w:val="22"/>
          <w:lang w:val="en-US"/>
        </w:rPr>
        <w:t>of the Code of Federal Regulations (C.F.R.)</w:t>
      </w:r>
      <w:r w:rsidR="00D23389" w:rsidRPr="002C5D58">
        <w:rPr>
          <w:rFonts w:cs="Arial"/>
          <w:sz w:val="22"/>
          <w:szCs w:val="22"/>
          <w:lang w:val="en-US"/>
        </w:rPr>
        <w:t>,</w:t>
      </w:r>
      <w:r w:rsidRPr="002C5D58">
        <w:rPr>
          <w:rFonts w:cs="Arial"/>
          <w:sz w:val="22"/>
          <w:szCs w:val="22"/>
          <w:lang w:val="en-US"/>
        </w:rPr>
        <w:t xml:space="preserve"> </w:t>
      </w:r>
      <w:r w:rsidR="00D23389" w:rsidRPr="002C5D58">
        <w:rPr>
          <w:rFonts w:cs="Arial"/>
          <w:sz w:val="22"/>
          <w:szCs w:val="22"/>
          <w:lang w:val="en-US"/>
        </w:rPr>
        <w:t>s</w:t>
      </w:r>
      <w:r w:rsidRPr="002C5D58">
        <w:rPr>
          <w:rFonts w:cs="Arial"/>
          <w:sz w:val="22"/>
          <w:szCs w:val="22"/>
          <w:lang w:val="en-US"/>
        </w:rPr>
        <w:t xml:space="preserve">ections 164.314, subdivision (a), 164.502, subdivision (e), and 164.504, subdivision (e) and contained in this </w:t>
      </w:r>
      <w:r w:rsidR="00405EBA">
        <w:rPr>
          <w:rFonts w:cs="Arial"/>
          <w:sz w:val="22"/>
          <w:szCs w:val="22"/>
          <w:lang w:val="en-US"/>
        </w:rPr>
        <w:t>MOU</w:t>
      </w:r>
      <w:r w:rsidRPr="002C5D58">
        <w:rPr>
          <w:rFonts w:cs="Arial"/>
          <w:sz w:val="22"/>
          <w:szCs w:val="22"/>
          <w:lang w:val="en-US"/>
        </w:rPr>
        <w:t>; and</w:t>
      </w:r>
    </w:p>
    <w:p w14:paraId="0326293A" w14:textId="6A085B14" w:rsidR="00206479" w:rsidRPr="002C5D58" w:rsidRDefault="00206479" w:rsidP="002C5D58">
      <w:pPr>
        <w:pStyle w:val="BodyText"/>
        <w:spacing w:after="0"/>
        <w:jc w:val="both"/>
        <w:rPr>
          <w:rFonts w:cs="Arial"/>
          <w:sz w:val="22"/>
          <w:szCs w:val="22"/>
          <w:lang w:val="en-US"/>
        </w:rPr>
      </w:pPr>
    </w:p>
    <w:p w14:paraId="5D9AF345" w14:textId="1CE8C371" w:rsidR="00206479" w:rsidRPr="002C5D58" w:rsidRDefault="00206479" w:rsidP="002C5D58">
      <w:pPr>
        <w:pStyle w:val="BodyText"/>
        <w:spacing w:after="0"/>
        <w:jc w:val="both"/>
        <w:rPr>
          <w:rFonts w:cs="Arial"/>
          <w:sz w:val="22"/>
          <w:szCs w:val="22"/>
          <w:lang w:val="en-US"/>
        </w:rPr>
      </w:pPr>
      <w:r w:rsidRPr="002C5D58">
        <w:rPr>
          <w:rFonts w:cs="Arial"/>
          <w:b/>
          <w:sz w:val="22"/>
          <w:szCs w:val="22"/>
          <w:lang w:val="en-US"/>
        </w:rPr>
        <w:t>WHEREAS</w:t>
      </w:r>
      <w:r w:rsidRPr="002C5D58">
        <w:rPr>
          <w:rFonts w:cs="Arial"/>
          <w:sz w:val="22"/>
          <w:szCs w:val="22"/>
          <w:lang w:val="en-US"/>
        </w:rPr>
        <w:t xml:space="preserve">, Pursuant to </w:t>
      </w:r>
      <w:r w:rsidR="0034035D" w:rsidRPr="002C5D58">
        <w:rPr>
          <w:rFonts w:cs="Arial"/>
          <w:sz w:val="22"/>
          <w:szCs w:val="22"/>
          <w:lang w:val="en-US"/>
        </w:rPr>
        <w:t xml:space="preserve">HIPAA and the </w:t>
      </w:r>
      <w:r w:rsidRPr="002C5D58">
        <w:rPr>
          <w:rFonts w:cs="Arial"/>
          <w:sz w:val="22"/>
          <w:szCs w:val="22"/>
          <w:lang w:val="en-US"/>
        </w:rPr>
        <w:t xml:space="preserve">HITECH Act, BA </w:t>
      </w:r>
      <w:r w:rsidR="00937C72">
        <w:rPr>
          <w:rFonts w:cs="Arial"/>
          <w:sz w:val="22"/>
          <w:szCs w:val="22"/>
          <w:lang w:val="en-US"/>
        </w:rPr>
        <w:t>must</w:t>
      </w:r>
      <w:r w:rsidRPr="002C5D58">
        <w:rPr>
          <w:rFonts w:cs="Arial"/>
          <w:sz w:val="22"/>
          <w:szCs w:val="22"/>
          <w:lang w:val="en-US"/>
        </w:rPr>
        <w:t xml:space="preserve"> fulfill the responsibilities of this </w:t>
      </w:r>
      <w:r w:rsidR="001E57C2">
        <w:rPr>
          <w:rFonts w:cs="Arial"/>
          <w:sz w:val="22"/>
          <w:szCs w:val="22"/>
          <w:lang w:val="en-US"/>
        </w:rPr>
        <w:t>MOU</w:t>
      </w:r>
      <w:r w:rsidRPr="002C5D58">
        <w:rPr>
          <w:rFonts w:cs="Arial"/>
          <w:sz w:val="22"/>
          <w:szCs w:val="22"/>
          <w:lang w:val="en-US"/>
        </w:rPr>
        <w:t xml:space="preserve"> by being in compliance with the applicable provisions of the HIPAA Standards for Privacy</w:t>
      </w:r>
      <w:r w:rsidR="00D13373">
        <w:rPr>
          <w:rFonts w:cs="Arial"/>
          <w:sz w:val="22"/>
          <w:szCs w:val="22"/>
          <w:lang w:val="en-US"/>
        </w:rPr>
        <w:t xml:space="preserve"> and Security</w:t>
      </w:r>
      <w:r w:rsidRPr="002C5D58">
        <w:rPr>
          <w:rFonts w:cs="Arial"/>
          <w:sz w:val="22"/>
          <w:szCs w:val="22"/>
          <w:lang w:val="en-US"/>
        </w:rPr>
        <w:t xml:space="preserve"> of PHI set forth at 45 C</w:t>
      </w:r>
      <w:r w:rsidR="00D23389" w:rsidRPr="002C5D58">
        <w:rPr>
          <w:rFonts w:cs="Arial"/>
          <w:sz w:val="22"/>
          <w:szCs w:val="22"/>
          <w:lang w:val="en-US"/>
        </w:rPr>
        <w:t>.</w:t>
      </w:r>
      <w:r w:rsidRPr="002C5D58">
        <w:rPr>
          <w:rFonts w:cs="Arial"/>
          <w:sz w:val="22"/>
          <w:szCs w:val="22"/>
          <w:lang w:val="en-US"/>
        </w:rPr>
        <w:t>F</w:t>
      </w:r>
      <w:r w:rsidR="00D23389" w:rsidRPr="002C5D58">
        <w:rPr>
          <w:rFonts w:cs="Arial"/>
          <w:sz w:val="22"/>
          <w:szCs w:val="22"/>
          <w:lang w:val="en-US"/>
        </w:rPr>
        <w:t>.</w:t>
      </w:r>
      <w:r w:rsidRPr="002C5D58">
        <w:rPr>
          <w:rFonts w:cs="Arial"/>
          <w:sz w:val="22"/>
          <w:szCs w:val="22"/>
          <w:lang w:val="en-US"/>
        </w:rPr>
        <w:t>R</w:t>
      </w:r>
      <w:r w:rsidR="00D23389" w:rsidRPr="002C5D58">
        <w:rPr>
          <w:rFonts w:cs="Arial"/>
          <w:sz w:val="22"/>
          <w:szCs w:val="22"/>
          <w:lang w:val="en-US"/>
        </w:rPr>
        <w:t>.</w:t>
      </w:r>
      <w:r w:rsidRPr="002C5D58">
        <w:rPr>
          <w:rFonts w:cs="Arial"/>
          <w:sz w:val="22"/>
          <w:szCs w:val="22"/>
          <w:lang w:val="en-US"/>
        </w:rPr>
        <w:t xml:space="preserve"> </w:t>
      </w:r>
      <w:r w:rsidR="00AE734C" w:rsidRPr="002C5D58">
        <w:rPr>
          <w:rFonts w:cs="Arial"/>
          <w:sz w:val="22"/>
          <w:szCs w:val="22"/>
          <w:lang w:val="en-US"/>
        </w:rPr>
        <w:t>section</w:t>
      </w:r>
      <w:r w:rsidR="00D23389" w:rsidRPr="002C5D58">
        <w:rPr>
          <w:rFonts w:cs="Arial"/>
          <w:sz w:val="22"/>
          <w:szCs w:val="22"/>
          <w:lang w:val="en-US"/>
        </w:rPr>
        <w:t>s</w:t>
      </w:r>
      <w:r w:rsidR="00AE734C" w:rsidRPr="002C5D58">
        <w:rPr>
          <w:rFonts w:cs="Arial"/>
          <w:sz w:val="22"/>
          <w:szCs w:val="22"/>
          <w:lang w:val="en-US"/>
        </w:rPr>
        <w:t xml:space="preserve"> </w:t>
      </w:r>
      <w:r w:rsidRPr="002C5D58">
        <w:rPr>
          <w:rFonts w:cs="Arial"/>
          <w:sz w:val="22"/>
          <w:szCs w:val="22"/>
          <w:lang w:val="en-US"/>
        </w:rPr>
        <w:t>164.308 (Administrative Safeguards)</w:t>
      </w:r>
      <w:r w:rsidR="00D23389" w:rsidRPr="002C5D58">
        <w:rPr>
          <w:rFonts w:cs="Arial"/>
          <w:sz w:val="22"/>
          <w:szCs w:val="22"/>
          <w:lang w:val="en-US"/>
        </w:rPr>
        <w:t>,</w:t>
      </w:r>
      <w:r w:rsidR="00AE734C" w:rsidRPr="002C5D58">
        <w:rPr>
          <w:rFonts w:cs="Arial"/>
          <w:sz w:val="22"/>
          <w:szCs w:val="22"/>
          <w:lang w:val="en-US"/>
        </w:rPr>
        <w:t xml:space="preserve"> </w:t>
      </w:r>
      <w:r w:rsidRPr="002C5D58">
        <w:rPr>
          <w:rFonts w:cs="Arial"/>
          <w:sz w:val="22"/>
          <w:szCs w:val="22"/>
          <w:lang w:val="en-US"/>
        </w:rPr>
        <w:t>164.310 (Physical Safeguards)</w:t>
      </w:r>
      <w:r w:rsidR="00D23389" w:rsidRPr="002C5D58">
        <w:rPr>
          <w:rFonts w:cs="Arial"/>
          <w:sz w:val="22"/>
          <w:szCs w:val="22"/>
          <w:lang w:val="en-US"/>
        </w:rPr>
        <w:t>,</w:t>
      </w:r>
      <w:r w:rsidR="00AE734C" w:rsidRPr="002C5D58">
        <w:rPr>
          <w:rFonts w:cs="Arial"/>
          <w:sz w:val="22"/>
          <w:szCs w:val="22"/>
          <w:lang w:val="en-US"/>
        </w:rPr>
        <w:t xml:space="preserve"> </w:t>
      </w:r>
      <w:r w:rsidRPr="002C5D58">
        <w:rPr>
          <w:rFonts w:cs="Arial"/>
          <w:sz w:val="22"/>
          <w:szCs w:val="22"/>
          <w:lang w:val="en-US"/>
        </w:rPr>
        <w:t>164.312 (Technical Safeguards)</w:t>
      </w:r>
      <w:r w:rsidR="00D23389" w:rsidRPr="002C5D58">
        <w:rPr>
          <w:rFonts w:cs="Arial"/>
          <w:sz w:val="22"/>
          <w:szCs w:val="22"/>
          <w:lang w:val="en-US"/>
        </w:rPr>
        <w:t>,</w:t>
      </w:r>
      <w:r w:rsidR="00AE734C" w:rsidRPr="002C5D58">
        <w:rPr>
          <w:rFonts w:cs="Arial"/>
          <w:sz w:val="22"/>
          <w:szCs w:val="22"/>
          <w:lang w:val="en-US"/>
        </w:rPr>
        <w:t xml:space="preserve"> </w:t>
      </w:r>
      <w:r w:rsidRPr="002C5D58">
        <w:rPr>
          <w:rFonts w:cs="Arial"/>
          <w:sz w:val="22"/>
          <w:szCs w:val="22"/>
          <w:lang w:val="en-US"/>
        </w:rPr>
        <w:t>164.316 (Policies and Procedures and Documentation Requirements)</w:t>
      </w:r>
      <w:r w:rsidR="00D23389" w:rsidRPr="002C5D58">
        <w:rPr>
          <w:rFonts w:cs="Arial"/>
          <w:sz w:val="22"/>
          <w:szCs w:val="22"/>
          <w:lang w:val="en-US"/>
        </w:rPr>
        <w:t xml:space="preserve">, </w:t>
      </w:r>
      <w:r w:rsidR="0034035D" w:rsidRPr="002C5D58">
        <w:rPr>
          <w:rFonts w:cs="Arial"/>
          <w:sz w:val="22"/>
          <w:szCs w:val="22"/>
          <w:lang w:val="en-US"/>
        </w:rPr>
        <w:t xml:space="preserve">164.400, </w:t>
      </w:r>
      <w:r w:rsidR="00D13373">
        <w:rPr>
          <w:rFonts w:cs="Arial"/>
          <w:sz w:val="22"/>
          <w:szCs w:val="22"/>
          <w:lang w:val="en-US"/>
        </w:rPr>
        <w:t xml:space="preserve">164.530 </w:t>
      </w:r>
      <w:r w:rsidR="00AE734C" w:rsidRPr="002C5D58">
        <w:rPr>
          <w:rFonts w:cs="Arial"/>
          <w:sz w:val="22"/>
          <w:szCs w:val="22"/>
          <w:lang w:val="en-US"/>
        </w:rPr>
        <w:t xml:space="preserve">and 42 </w:t>
      </w:r>
      <w:r w:rsidR="00D23389" w:rsidRPr="002C5D58">
        <w:rPr>
          <w:rFonts w:cs="Arial"/>
          <w:sz w:val="22"/>
          <w:szCs w:val="22"/>
          <w:lang w:val="en-US"/>
        </w:rPr>
        <w:t>United States Code (</w:t>
      </w:r>
      <w:r w:rsidR="00AE734C" w:rsidRPr="002C5D58">
        <w:rPr>
          <w:rFonts w:cs="Arial"/>
          <w:sz w:val="22"/>
          <w:szCs w:val="22"/>
          <w:lang w:val="en-US"/>
        </w:rPr>
        <w:t>U</w:t>
      </w:r>
      <w:r w:rsidR="00D23389" w:rsidRPr="002C5D58">
        <w:rPr>
          <w:rFonts w:cs="Arial"/>
          <w:sz w:val="22"/>
          <w:szCs w:val="22"/>
          <w:lang w:val="en-US"/>
        </w:rPr>
        <w:t>.</w:t>
      </w:r>
      <w:r w:rsidR="00AE734C" w:rsidRPr="002C5D58">
        <w:rPr>
          <w:rFonts w:cs="Arial"/>
          <w:sz w:val="22"/>
          <w:szCs w:val="22"/>
          <w:lang w:val="en-US"/>
        </w:rPr>
        <w:t>S</w:t>
      </w:r>
      <w:r w:rsidR="00D23389" w:rsidRPr="002C5D58">
        <w:rPr>
          <w:rFonts w:cs="Arial"/>
          <w:sz w:val="22"/>
          <w:szCs w:val="22"/>
          <w:lang w:val="en-US"/>
        </w:rPr>
        <w:t>.</w:t>
      </w:r>
      <w:r w:rsidR="00AE734C" w:rsidRPr="002C5D58">
        <w:rPr>
          <w:rFonts w:cs="Arial"/>
          <w:sz w:val="22"/>
          <w:szCs w:val="22"/>
          <w:lang w:val="en-US"/>
        </w:rPr>
        <w:t>C</w:t>
      </w:r>
      <w:r w:rsidR="00D23389" w:rsidRPr="002C5D58">
        <w:rPr>
          <w:rFonts w:cs="Arial"/>
          <w:sz w:val="22"/>
          <w:szCs w:val="22"/>
          <w:lang w:val="en-US"/>
        </w:rPr>
        <w:t>.)</w:t>
      </w:r>
      <w:r w:rsidR="00AE734C" w:rsidRPr="002C5D58">
        <w:rPr>
          <w:rFonts w:cs="Arial"/>
          <w:sz w:val="22"/>
          <w:szCs w:val="22"/>
          <w:lang w:val="en-US"/>
        </w:rPr>
        <w:t xml:space="preserve"> section 17932 </w:t>
      </w:r>
      <w:r w:rsidRPr="002C5D58">
        <w:rPr>
          <w:rFonts w:cs="Arial"/>
          <w:sz w:val="22"/>
          <w:szCs w:val="22"/>
          <w:lang w:val="en-US"/>
        </w:rPr>
        <w:t>(</w:t>
      </w:r>
      <w:r w:rsidR="0072395C" w:rsidRPr="002C5D58">
        <w:rPr>
          <w:rFonts w:cs="Arial"/>
          <w:sz w:val="22"/>
          <w:szCs w:val="22"/>
          <w:lang w:val="en-US"/>
        </w:rPr>
        <w:t>Breach Notification Rule</w:t>
      </w:r>
      <w:r w:rsidRPr="002C5D58">
        <w:rPr>
          <w:rFonts w:cs="Arial"/>
          <w:sz w:val="22"/>
          <w:szCs w:val="22"/>
          <w:lang w:val="en-US"/>
        </w:rPr>
        <w:t xml:space="preserve">), in the same manner as they apply </w:t>
      </w:r>
      <w:r w:rsidR="0034035D" w:rsidRPr="002C5D58">
        <w:rPr>
          <w:rFonts w:cs="Arial"/>
          <w:sz w:val="22"/>
          <w:szCs w:val="22"/>
          <w:lang w:val="en-US"/>
        </w:rPr>
        <w:t>to CE under HIPAA</w:t>
      </w:r>
      <w:r w:rsidRPr="002C5D58">
        <w:rPr>
          <w:rFonts w:cs="Arial"/>
          <w:sz w:val="22"/>
          <w:szCs w:val="22"/>
          <w:lang w:val="en-US"/>
        </w:rPr>
        <w:t>;</w:t>
      </w:r>
    </w:p>
    <w:p w14:paraId="0DB4638F" w14:textId="77777777" w:rsidR="00206479" w:rsidRPr="002C5D58" w:rsidRDefault="00206479" w:rsidP="002C5D58">
      <w:pPr>
        <w:pStyle w:val="BodyText"/>
        <w:spacing w:after="0"/>
        <w:jc w:val="both"/>
        <w:rPr>
          <w:rFonts w:cs="Arial"/>
          <w:sz w:val="22"/>
          <w:szCs w:val="22"/>
          <w:lang w:val="en-US"/>
        </w:rPr>
      </w:pPr>
    </w:p>
    <w:p w14:paraId="298F94F2" w14:textId="0423FB0D" w:rsidR="00206479" w:rsidRPr="002C5D58" w:rsidRDefault="00206479" w:rsidP="002C5D58">
      <w:pPr>
        <w:pStyle w:val="BodyText"/>
        <w:spacing w:after="0"/>
        <w:jc w:val="both"/>
        <w:rPr>
          <w:rFonts w:cs="Arial"/>
          <w:sz w:val="22"/>
          <w:szCs w:val="22"/>
          <w:lang w:val="en-US"/>
        </w:rPr>
      </w:pPr>
      <w:r w:rsidRPr="002C5D58">
        <w:rPr>
          <w:rFonts w:cs="Arial"/>
          <w:b/>
          <w:sz w:val="22"/>
          <w:szCs w:val="22"/>
          <w:lang w:val="en-US"/>
        </w:rPr>
        <w:t>NOW THEREFORE</w:t>
      </w:r>
      <w:r w:rsidRPr="002C5D58">
        <w:rPr>
          <w:rFonts w:cs="Arial"/>
          <w:sz w:val="22"/>
          <w:szCs w:val="22"/>
          <w:lang w:val="en-US"/>
        </w:rPr>
        <w:t xml:space="preserve">, in consideration of the mutual promises below and the exchange of information pursuant to this </w:t>
      </w:r>
      <w:r w:rsidR="001E57C2">
        <w:rPr>
          <w:rFonts w:cs="Arial"/>
          <w:sz w:val="22"/>
          <w:szCs w:val="22"/>
          <w:lang w:val="en-US"/>
        </w:rPr>
        <w:t>MOU</w:t>
      </w:r>
      <w:r w:rsidRPr="002C5D58">
        <w:rPr>
          <w:rFonts w:cs="Arial"/>
          <w:sz w:val="22"/>
          <w:szCs w:val="22"/>
          <w:lang w:val="en-US"/>
        </w:rPr>
        <w:t>, the parties agree as follows:</w:t>
      </w:r>
    </w:p>
    <w:p w14:paraId="3925A1F7" w14:textId="77777777" w:rsidR="00206479" w:rsidRPr="002C5D58" w:rsidRDefault="00206479" w:rsidP="00A64D63">
      <w:pPr>
        <w:pStyle w:val="BodyText"/>
        <w:jc w:val="both"/>
        <w:rPr>
          <w:rFonts w:cs="Arial"/>
          <w:sz w:val="22"/>
          <w:szCs w:val="22"/>
          <w:lang w:val="en-US"/>
        </w:rPr>
      </w:pPr>
    </w:p>
    <w:p w14:paraId="692B61B6" w14:textId="75192EB4" w:rsidR="006B611C" w:rsidRPr="002C5D58" w:rsidRDefault="00A64D63" w:rsidP="00AC5B91">
      <w:pPr>
        <w:pStyle w:val="BodyText"/>
        <w:numPr>
          <w:ilvl w:val="0"/>
          <w:numId w:val="2"/>
        </w:numPr>
        <w:ind w:hanging="720"/>
        <w:jc w:val="both"/>
        <w:rPr>
          <w:rFonts w:cs="Arial"/>
          <w:b/>
          <w:sz w:val="22"/>
          <w:szCs w:val="22"/>
        </w:rPr>
      </w:pPr>
      <w:r w:rsidRPr="002C5D58">
        <w:rPr>
          <w:rFonts w:cs="Arial"/>
          <w:b/>
          <w:sz w:val="22"/>
          <w:szCs w:val="22"/>
        </w:rPr>
        <w:t>Definitions</w:t>
      </w:r>
    </w:p>
    <w:p w14:paraId="6221A34E" w14:textId="74A276A4" w:rsidR="0034035D" w:rsidRPr="002C5D58" w:rsidRDefault="0034035D" w:rsidP="002C5D58">
      <w:pPr>
        <w:pStyle w:val="BodyText"/>
        <w:jc w:val="both"/>
        <w:rPr>
          <w:rFonts w:cs="Arial"/>
          <w:sz w:val="22"/>
          <w:szCs w:val="22"/>
          <w:lang w:val="en-US"/>
        </w:rPr>
      </w:pPr>
      <w:r w:rsidRPr="002C5D58">
        <w:rPr>
          <w:rFonts w:cs="Arial"/>
          <w:sz w:val="22"/>
          <w:szCs w:val="22"/>
          <w:lang w:val="en-US"/>
        </w:rPr>
        <w:t xml:space="preserve">Unless otherwise specified herein, capitalized terms used in this </w:t>
      </w:r>
      <w:r w:rsidR="001E57C2">
        <w:rPr>
          <w:rFonts w:cs="Arial"/>
          <w:sz w:val="22"/>
          <w:szCs w:val="22"/>
          <w:lang w:val="en-US"/>
        </w:rPr>
        <w:t>MOU</w:t>
      </w:r>
      <w:r w:rsidRPr="002C5D58">
        <w:rPr>
          <w:rFonts w:cs="Arial"/>
          <w:sz w:val="22"/>
          <w:szCs w:val="22"/>
          <w:lang w:val="en-US"/>
        </w:rPr>
        <w:t xml:space="preserve"> shall have the same meanings as given in the Privacy Rule, the Security Rule, the Breach Notification Rule, and HITECH</w:t>
      </w:r>
      <w:r w:rsidR="0072395C" w:rsidRPr="002C5D58">
        <w:rPr>
          <w:rFonts w:cs="Arial"/>
          <w:sz w:val="22"/>
          <w:szCs w:val="22"/>
          <w:lang w:val="en-US"/>
        </w:rPr>
        <w:t xml:space="preserve"> Act</w:t>
      </w:r>
      <w:r w:rsidRPr="002C5D58">
        <w:rPr>
          <w:rFonts w:cs="Arial"/>
          <w:sz w:val="22"/>
          <w:szCs w:val="22"/>
          <w:lang w:val="en-US"/>
        </w:rPr>
        <w:t>, as and when amended from time to time.</w:t>
      </w:r>
    </w:p>
    <w:p w14:paraId="5139D2B4" w14:textId="7F71F739" w:rsidR="00A64D63" w:rsidRPr="002C5D58" w:rsidRDefault="00A64D63" w:rsidP="002C5D58">
      <w:pPr>
        <w:numPr>
          <w:ilvl w:val="0"/>
          <w:numId w:val="2"/>
        </w:numPr>
        <w:tabs>
          <w:tab w:val="num" w:pos="720"/>
        </w:tabs>
        <w:spacing w:after="120"/>
        <w:ind w:hanging="720"/>
        <w:jc w:val="both"/>
        <w:rPr>
          <w:rFonts w:cs="Arial"/>
          <w:b/>
          <w:szCs w:val="22"/>
        </w:rPr>
      </w:pPr>
      <w:r w:rsidRPr="002C5D58">
        <w:rPr>
          <w:rFonts w:cs="Arial"/>
          <w:b/>
          <w:bCs/>
          <w:szCs w:val="22"/>
        </w:rPr>
        <w:t>Obligations and Activities of BA</w:t>
      </w:r>
    </w:p>
    <w:p w14:paraId="77761061" w14:textId="77777777" w:rsidR="00CC161E" w:rsidRPr="002C5D58" w:rsidRDefault="00CC161E" w:rsidP="00CC161E">
      <w:pPr>
        <w:numPr>
          <w:ilvl w:val="1"/>
          <w:numId w:val="2"/>
        </w:numPr>
        <w:suppressAutoHyphens/>
        <w:spacing w:after="120"/>
        <w:ind w:left="1080"/>
        <w:jc w:val="both"/>
        <w:rPr>
          <w:rFonts w:cs="Arial"/>
          <w:szCs w:val="22"/>
          <w:u w:val="single"/>
        </w:rPr>
      </w:pPr>
      <w:r w:rsidRPr="002C5D58">
        <w:rPr>
          <w:rFonts w:cs="Arial"/>
          <w:szCs w:val="22"/>
          <w:u w:val="single"/>
        </w:rPr>
        <w:t>Permitted Uses and Disclosures</w:t>
      </w:r>
    </w:p>
    <w:p w14:paraId="6C64C8BE" w14:textId="4F7968D5" w:rsidR="00CC161E" w:rsidRPr="002C5D58" w:rsidRDefault="00CC161E" w:rsidP="002C5D58">
      <w:pPr>
        <w:pStyle w:val="Header"/>
        <w:numPr>
          <w:ilvl w:val="2"/>
          <w:numId w:val="2"/>
        </w:numPr>
        <w:tabs>
          <w:tab w:val="clear" w:pos="4320"/>
          <w:tab w:val="clear" w:pos="8640"/>
        </w:tabs>
        <w:spacing w:after="240"/>
        <w:ind w:left="1350"/>
        <w:jc w:val="both"/>
        <w:rPr>
          <w:rFonts w:cs="Arial"/>
          <w:sz w:val="22"/>
          <w:szCs w:val="22"/>
        </w:rPr>
      </w:pPr>
      <w:r w:rsidRPr="002C5D58">
        <w:rPr>
          <w:rFonts w:cs="Arial"/>
          <w:sz w:val="22"/>
          <w:szCs w:val="22"/>
          <w:lang w:val="en-US"/>
        </w:rPr>
        <w:t xml:space="preserve">CE </w:t>
      </w:r>
      <w:r w:rsidR="00602E4A">
        <w:rPr>
          <w:rFonts w:cs="Arial"/>
          <w:sz w:val="22"/>
          <w:szCs w:val="22"/>
          <w:lang w:val="en-US"/>
        </w:rPr>
        <w:t>will Disclose</w:t>
      </w:r>
      <w:r w:rsidRPr="002C5D58">
        <w:rPr>
          <w:rFonts w:cs="Arial"/>
          <w:sz w:val="22"/>
          <w:szCs w:val="22"/>
          <w:lang w:val="en-US"/>
        </w:rPr>
        <w:t xml:space="preserve"> PHI </w:t>
      </w:r>
      <w:r w:rsidR="00602E4A">
        <w:rPr>
          <w:rFonts w:cs="Arial"/>
          <w:sz w:val="22"/>
          <w:szCs w:val="22"/>
          <w:lang w:val="en-US"/>
        </w:rPr>
        <w:t xml:space="preserve">to BA only </w:t>
      </w:r>
      <w:r w:rsidRPr="002C5D58">
        <w:rPr>
          <w:rFonts w:cs="Arial"/>
          <w:sz w:val="22"/>
          <w:szCs w:val="22"/>
          <w:lang w:val="en-US"/>
        </w:rPr>
        <w:t xml:space="preserve">for the following purposes: </w:t>
      </w:r>
      <w:r w:rsidRPr="002C5D58">
        <w:rPr>
          <w:rFonts w:cs="Arial"/>
          <w:sz w:val="22"/>
          <w:szCs w:val="22"/>
          <w:highlight w:val="yellow"/>
          <w:lang w:val="en-US"/>
        </w:rPr>
        <w:t>[set forth details as to purpose of the BAA and what information will be shared, and for what purpose.]</w:t>
      </w:r>
    </w:p>
    <w:p w14:paraId="075F5D44" w14:textId="0E7E0539" w:rsidR="00CC161E" w:rsidRPr="002C5D58" w:rsidRDefault="00CC161E" w:rsidP="002C5D58">
      <w:pPr>
        <w:pStyle w:val="ListParagraph"/>
        <w:numPr>
          <w:ilvl w:val="2"/>
          <w:numId w:val="2"/>
        </w:numPr>
        <w:suppressAutoHyphens/>
        <w:spacing w:after="240"/>
        <w:ind w:left="1350"/>
        <w:jc w:val="both"/>
        <w:rPr>
          <w:rFonts w:cs="Arial"/>
          <w:szCs w:val="22"/>
          <w:lang w:eastAsia="x-none"/>
        </w:rPr>
      </w:pPr>
      <w:r w:rsidRPr="002C5D58">
        <w:rPr>
          <w:rFonts w:cs="Arial"/>
          <w:szCs w:val="22"/>
          <w:lang w:val="x-none" w:eastAsia="x-none"/>
        </w:rPr>
        <w:t xml:space="preserve">BA may </w:t>
      </w:r>
      <w:r w:rsidR="00602E4A">
        <w:rPr>
          <w:rFonts w:cs="Arial"/>
          <w:szCs w:val="22"/>
          <w:lang w:eastAsia="x-none"/>
        </w:rPr>
        <w:t>Disclose</w:t>
      </w:r>
      <w:r w:rsidRPr="002C5D58">
        <w:rPr>
          <w:rFonts w:cs="Arial"/>
          <w:szCs w:val="22"/>
          <w:lang w:val="x-none" w:eastAsia="x-none"/>
        </w:rPr>
        <w:t xml:space="preserve"> </w:t>
      </w:r>
      <w:r w:rsidRPr="002C5D58">
        <w:rPr>
          <w:rFonts w:cs="Arial"/>
          <w:szCs w:val="22"/>
          <w:lang w:eastAsia="x-none"/>
        </w:rPr>
        <w:t>PHI</w:t>
      </w:r>
      <w:r w:rsidRPr="002C5D58">
        <w:rPr>
          <w:rFonts w:cs="Arial"/>
          <w:szCs w:val="22"/>
          <w:lang w:val="x-none" w:eastAsia="x-none"/>
        </w:rPr>
        <w:t xml:space="preserve"> (i) for the proper management and administration of BA; (ii) to carry out the legal responsibilities of BA; (iii) </w:t>
      </w:r>
      <w:r w:rsidRPr="002C5D58">
        <w:rPr>
          <w:rFonts w:cs="Arial"/>
          <w:szCs w:val="22"/>
          <w:lang w:eastAsia="x-none"/>
        </w:rPr>
        <w:t xml:space="preserve">for purposes of Treatment, Payment and Operations (TPO); (iv) </w:t>
      </w:r>
      <w:r w:rsidRPr="002C5D58">
        <w:rPr>
          <w:rFonts w:cs="Arial"/>
          <w:szCs w:val="22"/>
          <w:lang w:val="x-none" w:eastAsia="x-none"/>
        </w:rPr>
        <w:t xml:space="preserve">as required by law; or (v) for Data Aggregation purposes for the Health Care Operations of </w:t>
      </w:r>
      <w:r w:rsidRPr="002C5D58">
        <w:rPr>
          <w:rFonts w:cs="Arial"/>
          <w:szCs w:val="22"/>
          <w:lang w:val="x-none" w:eastAsia="x-none"/>
        </w:rPr>
        <w:lastRenderedPageBreak/>
        <w:t xml:space="preserve">CE. </w:t>
      </w:r>
      <w:r w:rsidRPr="002C5D58">
        <w:rPr>
          <w:rFonts w:cs="Arial"/>
          <w:szCs w:val="22"/>
          <w:lang w:eastAsia="x-none"/>
        </w:rPr>
        <w:t xml:space="preserve"> </w:t>
      </w:r>
      <w:r w:rsidR="00405EBA">
        <w:rPr>
          <w:rFonts w:cs="Arial"/>
          <w:szCs w:val="22"/>
          <w:lang w:eastAsia="x-none"/>
        </w:rPr>
        <w:t>If required by law</w:t>
      </w:r>
      <w:r w:rsidR="00CF0D3B">
        <w:rPr>
          <w:rFonts w:cs="Arial"/>
          <w:szCs w:val="22"/>
          <w:lang w:eastAsia="x-none"/>
        </w:rPr>
        <w:t xml:space="preserve"> and/or regulatory requirement</w:t>
      </w:r>
      <w:r w:rsidR="00405EBA">
        <w:rPr>
          <w:rFonts w:cs="Arial"/>
          <w:szCs w:val="22"/>
          <w:lang w:eastAsia="x-none"/>
        </w:rPr>
        <w:t xml:space="preserve">, </w:t>
      </w:r>
      <w:r w:rsidRPr="002C5D58">
        <w:rPr>
          <w:rFonts w:cs="Arial"/>
          <w:szCs w:val="22"/>
          <w:lang w:eastAsia="x-none"/>
        </w:rPr>
        <w:t>BA must obtain a written authorization from the Individual</w:t>
      </w:r>
      <w:r w:rsidR="00405EBA">
        <w:rPr>
          <w:rFonts w:cs="Arial"/>
          <w:szCs w:val="22"/>
          <w:lang w:eastAsia="x-none"/>
        </w:rPr>
        <w:t xml:space="preserve"> p</w:t>
      </w:r>
      <w:r w:rsidR="00405EBA" w:rsidRPr="002C5D58">
        <w:rPr>
          <w:rFonts w:cs="Arial"/>
          <w:szCs w:val="22"/>
          <w:lang w:eastAsia="x-none"/>
        </w:rPr>
        <w:t>rior to making any other disclosures</w:t>
      </w:r>
      <w:r w:rsidRPr="002C5D58">
        <w:rPr>
          <w:rFonts w:cs="Arial"/>
          <w:szCs w:val="22"/>
          <w:lang w:eastAsia="x-none"/>
        </w:rPr>
        <w:t>.</w:t>
      </w:r>
    </w:p>
    <w:p w14:paraId="1708716D" w14:textId="77777777" w:rsidR="00CC161E" w:rsidRPr="002C5D58" w:rsidRDefault="00CC161E" w:rsidP="002C5D58">
      <w:pPr>
        <w:pStyle w:val="ListParagraph"/>
        <w:suppressAutoHyphens/>
        <w:spacing w:after="240"/>
        <w:ind w:left="1350"/>
        <w:jc w:val="both"/>
        <w:rPr>
          <w:rFonts w:cs="Arial"/>
          <w:szCs w:val="22"/>
          <w:lang w:eastAsia="x-none"/>
        </w:rPr>
      </w:pPr>
    </w:p>
    <w:p w14:paraId="7089AF46" w14:textId="305F21D6" w:rsidR="00CC161E" w:rsidRPr="002C5D58" w:rsidRDefault="00CC161E" w:rsidP="002C5D58">
      <w:pPr>
        <w:pStyle w:val="ListParagraph"/>
        <w:numPr>
          <w:ilvl w:val="2"/>
          <w:numId w:val="2"/>
        </w:numPr>
        <w:suppressAutoHyphens/>
        <w:spacing w:after="240"/>
        <w:ind w:left="1350"/>
        <w:jc w:val="both"/>
        <w:rPr>
          <w:rFonts w:cs="Arial"/>
          <w:szCs w:val="22"/>
        </w:rPr>
      </w:pPr>
      <w:r w:rsidRPr="002C5D58">
        <w:rPr>
          <w:rFonts w:cs="Arial"/>
          <w:szCs w:val="22"/>
          <w:lang w:val="x-none" w:eastAsia="x-none"/>
        </w:rPr>
        <w:t xml:space="preserve">If BA </w:t>
      </w:r>
      <w:r w:rsidR="00C118E8">
        <w:rPr>
          <w:rFonts w:cs="Arial"/>
          <w:szCs w:val="22"/>
          <w:lang w:eastAsia="x-none"/>
        </w:rPr>
        <w:t>wishes to D</w:t>
      </w:r>
      <w:r w:rsidRPr="002C5D58">
        <w:rPr>
          <w:rFonts w:cs="Arial"/>
          <w:szCs w:val="22"/>
          <w:lang w:val="x-none" w:eastAsia="x-none"/>
        </w:rPr>
        <w:t xml:space="preserve">isclose </w:t>
      </w:r>
      <w:r w:rsidRPr="002C5D58">
        <w:rPr>
          <w:rFonts w:cs="Arial"/>
          <w:szCs w:val="22"/>
          <w:lang w:eastAsia="x-none"/>
        </w:rPr>
        <w:t>PHI</w:t>
      </w:r>
      <w:r w:rsidRPr="002C5D58">
        <w:rPr>
          <w:rFonts w:cs="Arial"/>
          <w:szCs w:val="22"/>
          <w:lang w:val="x-none" w:eastAsia="x-none"/>
        </w:rPr>
        <w:t xml:space="preserve"> to a third party</w:t>
      </w:r>
      <w:r w:rsidR="00C118E8">
        <w:rPr>
          <w:rFonts w:cs="Arial"/>
          <w:szCs w:val="22"/>
          <w:lang w:eastAsia="x-none"/>
        </w:rPr>
        <w:t xml:space="preserve"> for purposes not stated in this MOU</w:t>
      </w:r>
      <w:r w:rsidRPr="002C5D58">
        <w:rPr>
          <w:rFonts w:cs="Arial"/>
          <w:szCs w:val="22"/>
          <w:lang w:val="x-none" w:eastAsia="x-none"/>
        </w:rPr>
        <w:t xml:space="preserve">, BA must obtain, prior to making any such </w:t>
      </w:r>
      <w:r w:rsidR="00C118E8">
        <w:rPr>
          <w:rFonts w:cs="Arial"/>
          <w:szCs w:val="22"/>
          <w:lang w:eastAsia="x-none"/>
        </w:rPr>
        <w:t>Disclosure</w:t>
      </w:r>
      <w:r w:rsidRPr="002C5D58">
        <w:rPr>
          <w:rFonts w:cs="Arial"/>
          <w:szCs w:val="22"/>
          <w:lang w:val="x-none" w:eastAsia="x-none"/>
        </w:rPr>
        <w:t>, (i)</w:t>
      </w:r>
      <w:r w:rsidR="00602E4A">
        <w:rPr>
          <w:rFonts w:cs="Arial"/>
          <w:szCs w:val="22"/>
          <w:lang w:eastAsia="x-none"/>
        </w:rPr>
        <w:t xml:space="preserve"> written authorization from </w:t>
      </w:r>
      <w:r w:rsidR="00954A46">
        <w:rPr>
          <w:rFonts w:cs="Arial"/>
          <w:szCs w:val="22"/>
          <w:lang w:eastAsia="x-none"/>
        </w:rPr>
        <w:t xml:space="preserve">an authorized representative of </w:t>
      </w:r>
      <w:r w:rsidR="00602E4A">
        <w:rPr>
          <w:rFonts w:cs="Arial"/>
          <w:szCs w:val="22"/>
          <w:lang w:eastAsia="x-none"/>
        </w:rPr>
        <w:t>the CE for such disclosures; (ii) if authorization is given,</w:t>
      </w:r>
      <w:r w:rsidRPr="002C5D58">
        <w:rPr>
          <w:rFonts w:cs="Arial"/>
          <w:szCs w:val="22"/>
          <w:lang w:val="x-none" w:eastAsia="x-none"/>
        </w:rPr>
        <w:t xml:space="preserve"> reasonable written assurances from such third party that such </w:t>
      </w:r>
      <w:r w:rsidRPr="002C5D58">
        <w:rPr>
          <w:rFonts w:cs="Arial"/>
          <w:szCs w:val="22"/>
          <w:lang w:eastAsia="x-none"/>
        </w:rPr>
        <w:t>PHI</w:t>
      </w:r>
      <w:r w:rsidRPr="002C5D58">
        <w:rPr>
          <w:rFonts w:cs="Arial"/>
          <w:szCs w:val="22"/>
          <w:lang w:val="x-none" w:eastAsia="x-none"/>
        </w:rPr>
        <w:t xml:space="preserve"> will be held confidential as provided pursuant to this </w:t>
      </w:r>
      <w:r w:rsidR="00602E4A">
        <w:rPr>
          <w:rFonts w:cs="Arial"/>
          <w:szCs w:val="22"/>
          <w:lang w:eastAsia="x-none"/>
        </w:rPr>
        <w:t>MOU</w:t>
      </w:r>
      <w:r w:rsidRPr="002C5D58">
        <w:rPr>
          <w:rFonts w:cs="Arial"/>
          <w:szCs w:val="22"/>
          <w:lang w:val="x-none" w:eastAsia="x-none"/>
        </w:rPr>
        <w:t xml:space="preserve"> and only disclosed as required by law or for the purposes for which it was disclosed to such third party, and (ii</w:t>
      </w:r>
      <w:r w:rsidR="00602E4A">
        <w:rPr>
          <w:rFonts w:cs="Arial"/>
          <w:szCs w:val="22"/>
          <w:lang w:eastAsia="x-none"/>
        </w:rPr>
        <w:t>i</w:t>
      </w:r>
      <w:r w:rsidRPr="002C5D58">
        <w:rPr>
          <w:rFonts w:cs="Arial"/>
          <w:szCs w:val="22"/>
          <w:lang w:val="x-none" w:eastAsia="x-none"/>
        </w:rPr>
        <w:t xml:space="preserve">) a written agreement from such third party to immediately notify BA of any breaches of confidentiality of the </w:t>
      </w:r>
      <w:r w:rsidRPr="002C5D58">
        <w:rPr>
          <w:rFonts w:cs="Arial"/>
          <w:szCs w:val="22"/>
          <w:lang w:eastAsia="x-none"/>
        </w:rPr>
        <w:t>PHI</w:t>
      </w:r>
      <w:r w:rsidRPr="002C5D58">
        <w:rPr>
          <w:rFonts w:cs="Arial"/>
          <w:szCs w:val="22"/>
          <w:lang w:val="x-none" w:eastAsia="x-none"/>
        </w:rPr>
        <w:t>, to the extent it has obtained knowledge of such breach</w:t>
      </w:r>
      <w:r w:rsidRPr="002C5D58">
        <w:rPr>
          <w:rFonts w:cs="Arial"/>
          <w:szCs w:val="22"/>
          <w:lang w:eastAsia="x-none"/>
        </w:rPr>
        <w:t xml:space="preserve">. </w:t>
      </w:r>
      <w:r w:rsidRPr="002C5D58">
        <w:rPr>
          <w:rFonts w:cs="Arial"/>
          <w:szCs w:val="22"/>
          <w:lang w:val="x-none" w:eastAsia="x-none"/>
        </w:rPr>
        <w:t xml:space="preserve"> [42 U.S.C. </w:t>
      </w:r>
      <w:r w:rsidR="001E57C2">
        <w:rPr>
          <w:rFonts w:cs="Arial"/>
          <w:szCs w:val="22"/>
          <w:lang w:eastAsia="x-none"/>
        </w:rPr>
        <w:t>§</w:t>
      </w:r>
      <w:r w:rsidRPr="002C5D58">
        <w:rPr>
          <w:rFonts w:cs="Arial"/>
          <w:szCs w:val="22"/>
          <w:lang w:val="x-none" w:eastAsia="x-none"/>
        </w:rPr>
        <w:t xml:space="preserve"> 17932; 45 C.F.R. </w:t>
      </w:r>
      <w:r w:rsidR="001E57C2">
        <w:rPr>
          <w:rFonts w:cs="Arial"/>
          <w:szCs w:val="22"/>
          <w:lang w:eastAsia="x-none"/>
        </w:rPr>
        <w:t>§§</w:t>
      </w:r>
      <w:r w:rsidRPr="002C5D58">
        <w:rPr>
          <w:rFonts w:cs="Arial"/>
          <w:szCs w:val="22"/>
          <w:lang w:val="x-none" w:eastAsia="x-none"/>
        </w:rPr>
        <w:t xml:space="preserve"> 164.504(e)(2)(i), 164.504(e)(2)(i)(B), 164.504(e)(2)(ii)(A) and 164.504(e)(4)(ii)]</w:t>
      </w:r>
    </w:p>
    <w:p w14:paraId="325513CA" w14:textId="77777777" w:rsidR="00A64D63" w:rsidRPr="002C5D58" w:rsidRDefault="00A64D63" w:rsidP="002C5D58">
      <w:pPr>
        <w:pStyle w:val="Header"/>
        <w:numPr>
          <w:ilvl w:val="1"/>
          <w:numId w:val="2"/>
        </w:numPr>
        <w:tabs>
          <w:tab w:val="clear" w:pos="4320"/>
          <w:tab w:val="clear" w:pos="8640"/>
        </w:tabs>
        <w:spacing w:after="120"/>
        <w:ind w:left="990"/>
        <w:jc w:val="both"/>
        <w:rPr>
          <w:rFonts w:cs="Arial"/>
          <w:sz w:val="22"/>
          <w:szCs w:val="22"/>
          <w:u w:val="single"/>
        </w:rPr>
      </w:pPr>
      <w:r w:rsidRPr="002C5D58">
        <w:rPr>
          <w:rFonts w:cs="Arial"/>
          <w:sz w:val="22"/>
          <w:szCs w:val="22"/>
          <w:u w:val="single"/>
        </w:rPr>
        <w:t>Prohibited Uses and Disclosures</w:t>
      </w:r>
    </w:p>
    <w:p w14:paraId="04E50268" w14:textId="38433D95" w:rsidR="00A64D63" w:rsidRPr="002C5D58" w:rsidRDefault="005B04B7"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lang w:val="en-US"/>
        </w:rPr>
        <w:t>BA</w:t>
      </w:r>
      <w:r w:rsidR="00A64D63" w:rsidRPr="002C5D58">
        <w:rPr>
          <w:rFonts w:cs="Arial"/>
          <w:sz w:val="22"/>
          <w:szCs w:val="22"/>
        </w:rPr>
        <w:t xml:space="preserve"> </w:t>
      </w:r>
      <w:r w:rsidR="00937C72">
        <w:rPr>
          <w:rFonts w:cs="Arial"/>
          <w:sz w:val="22"/>
          <w:szCs w:val="22"/>
        </w:rPr>
        <w:t>must</w:t>
      </w:r>
      <w:r w:rsidR="00A64D63" w:rsidRPr="002C5D58">
        <w:rPr>
          <w:rFonts w:cs="Arial"/>
          <w:sz w:val="22"/>
          <w:szCs w:val="22"/>
        </w:rPr>
        <w:t xml:space="preserve"> not use, access or further disclose PHI other than as permitted or required by this </w:t>
      </w:r>
      <w:r w:rsidR="001E57C2">
        <w:rPr>
          <w:rFonts w:cs="Arial"/>
          <w:sz w:val="22"/>
          <w:szCs w:val="22"/>
          <w:lang w:val="en-US"/>
        </w:rPr>
        <w:t>MOU</w:t>
      </w:r>
      <w:r w:rsidR="00A64D63" w:rsidRPr="002C5D58">
        <w:rPr>
          <w:rFonts w:cs="Arial"/>
          <w:sz w:val="22"/>
          <w:szCs w:val="22"/>
        </w:rPr>
        <w:t xml:space="preserve"> or as required by law. Further, BA </w:t>
      </w:r>
      <w:r w:rsidR="00937C72">
        <w:rPr>
          <w:rFonts w:cs="Arial"/>
          <w:sz w:val="22"/>
          <w:szCs w:val="22"/>
        </w:rPr>
        <w:t>must</w:t>
      </w:r>
      <w:r w:rsidR="00A64D63" w:rsidRPr="002C5D58">
        <w:rPr>
          <w:rFonts w:cs="Arial"/>
          <w:sz w:val="22"/>
          <w:szCs w:val="22"/>
        </w:rPr>
        <w:t xml:space="preserve"> not use PHI in any manner that would constitute a violation of the Privacy Rule or</w:t>
      </w:r>
      <w:r w:rsidR="003161F6" w:rsidRPr="002C5D58">
        <w:rPr>
          <w:rFonts w:cs="Arial"/>
          <w:sz w:val="22"/>
          <w:szCs w:val="22"/>
          <w:lang w:val="en-US"/>
        </w:rPr>
        <w:t xml:space="preserve"> </w:t>
      </w:r>
      <w:r w:rsidRPr="002C5D58">
        <w:rPr>
          <w:rFonts w:cs="Arial"/>
          <w:sz w:val="22"/>
          <w:szCs w:val="22"/>
          <w:lang w:val="en-US"/>
        </w:rPr>
        <w:t xml:space="preserve">the </w:t>
      </w:r>
      <w:r w:rsidR="00A64D63" w:rsidRPr="002C5D58">
        <w:rPr>
          <w:rFonts w:cs="Arial"/>
          <w:sz w:val="22"/>
          <w:szCs w:val="22"/>
        </w:rPr>
        <w:t>HITECH</w:t>
      </w:r>
      <w:r w:rsidR="0072395C" w:rsidRPr="002C5D58">
        <w:rPr>
          <w:rFonts w:cs="Arial"/>
          <w:sz w:val="22"/>
          <w:szCs w:val="22"/>
          <w:lang w:val="en-US"/>
        </w:rPr>
        <w:t xml:space="preserve"> Act</w:t>
      </w:r>
      <w:r w:rsidR="00A64D63" w:rsidRPr="002C5D58">
        <w:rPr>
          <w:rFonts w:cs="Arial"/>
          <w:sz w:val="22"/>
          <w:szCs w:val="22"/>
        </w:rPr>
        <w:t xml:space="preserve">. BA </w:t>
      </w:r>
      <w:r w:rsidR="00937C72">
        <w:rPr>
          <w:rFonts w:cs="Arial"/>
          <w:sz w:val="22"/>
          <w:szCs w:val="22"/>
        </w:rPr>
        <w:t>must</w:t>
      </w:r>
      <w:r w:rsidR="00A64D63" w:rsidRPr="002C5D58">
        <w:rPr>
          <w:rFonts w:cs="Arial"/>
          <w:sz w:val="22"/>
          <w:szCs w:val="22"/>
        </w:rPr>
        <w:t xml:space="preserve"> disclose to its employees, subcontractors, agents, or other third parties, and request from </w:t>
      </w:r>
      <w:r w:rsidR="00D23389" w:rsidRPr="002C5D58">
        <w:rPr>
          <w:rFonts w:cs="Arial"/>
          <w:sz w:val="22"/>
          <w:szCs w:val="22"/>
        </w:rPr>
        <w:t>CE</w:t>
      </w:r>
      <w:r w:rsidR="00A64D63" w:rsidRPr="002C5D58">
        <w:rPr>
          <w:rFonts w:cs="Arial"/>
          <w:sz w:val="22"/>
          <w:szCs w:val="22"/>
        </w:rPr>
        <w:t>, only the minimum PHI necessary to perform or fulfill a specific function required or permitted hereunder</w:t>
      </w:r>
      <w:r w:rsidR="00405EBA">
        <w:rPr>
          <w:rFonts w:cs="Arial"/>
          <w:sz w:val="22"/>
          <w:szCs w:val="22"/>
          <w:lang w:val="en-US"/>
        </w:rPr>
        <w:t>, except where otherwise permitted by law</w:t>
      </w:r>
      <w:r w:rsidR="00A64D63" w:rsidRPr="002C5D58">
        <w:rPr>
          <w:rFonts w:cs="Arial"/>
          <w:sz w:val="22"/>
          <w:szCs w:val="22"/>
        </w:rPr>
        <w:t>.</w:t>
      </w:r>
    </w:p>
    <w:p w14:paraId="6099F0F9" w14:textId="4692F37A" w:rsidR="003161F6" w:rsidRPr="002C5D58" w:rsidRDefault="00A64D63"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BA </w:t>
      </w:r>
      <w:r w:rsidR="00937C72">
        <w:rPr>
          <w:rFonts w:cs="Arial"/>
          <w:sz w:val="22"/>
          <w:szCs w:val="22"/>
        </w:rPr>
        <w:t>must</w:t>
      </w:r>
      <w:r w:rsidRPr="002C5D58">
        <w:rPr>
          <w:rFonts w:cs="Arial"/>
          <w:sz w:val="22"/>
          <w:szCs w:val="22"/>
        </w:rPr>
        <w:t xml:space="preserve"> not use or disclose PHI for fundraising or marketing purposes. </w:t>
      </w:r>
    </w:p>
    <w:p w14:paraId="0CBE6C35" w14:textId="565AA7E0" w:rsidR="003161F6" w:rsidRPr="002C5D58" w:rsidRDefault="00A64D63"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BA </w:t>
      </w:r>
      <w:r w:rsidR="00937C72">
        <w:rPr>
          <w:rFonts w:cs="Arial"/>
          <w:sz w:val="22"/>
          <w:szCs w:val="22"/>
        </w:rPr>
        <w:t>must</w:t>
      </w:r>
      <w:r w:rsidRPr="002C5D58">
        <w:rPr>
          <w:rFonts w:cs="Arial"/>
          <w:sz w:val="22"/>
          <w:szCs w:val="22"/>
        </w:rPr>
        <w:t xml:space="preserve"> not disclose PHI to a </w:t>
      </w:r>
      <w:r w:rsidR="0005255A">
        <w:rPr>
          <w:rFonts w:cs="Arial"/>
          <w:sz w:val="22"/>
          <w:szCs w:val="22"/>
          <w:lang w:val="en-US"/>
        </w:rPr>
        <w:t>H</w:t>
      </w:r>
      <w:r w:rsidR="0005255A">
        <w:rPr>
          <w:rFonts w:cs="Arial"/>
          <w:sz w:val="22"/>
          <w:szCs w:val="22"/>
        </w:rPr>
        <w:t>ealth</w:t>
      </w:r>
      <w:r w:rsidRPr="002C5D58">
        <w:rPr>
          <w:rFonts w:cs="Arial"/>
          <w:sz w:val="22"/>
          <w:szCs w:val="22"/>
        </w:rPr>
        <w:t xml:space="preserve"> </w:t>
      </w:r>
      <w:r w:rsidR="0005255A">
        <w:rPr>
          <w:rFonts w:cs="Arial"/>
          <w:sz w:val="22"/>
          <w:szCs w:val="22"/>
          <w:lang w:val="en-US"/>
        </w:rPr>
        <w:t>Plan</w:t>
      </w:r>
      <w:r w:rsidRPr="002C5D58">
        <w:rPr>
          <w:rFonts w:cs="Arial"/>
          <w:sz w:val="22"/>
          <w:szCs w:val="22"/>
        </w:rPr>
        <w:t xml:space="preserve"> for payment or </w:t>
      </w:r>
      <w:r w:rsidR="0005255A">
        <w:rPr>
          <w:rFonts w:cs="Arial"/>
          <w:sz w:val="22"/>
          <w:szCs w:val="22"/>
          <w:lang w:val="en-US"/>
        </w:rPr>
        <w:t>H</w:t>
      </w:r>
      <w:r w:rsidRPr="002C5D58">
        <w:rPr>
          <w:rFonts w:cs="Arial"/>
          <w:sz w:val="22"/>
          <w:szCs w:val="22"/>
        </w:rPr>
        <w:t xml:space="preserve">ealth </w:t>
      </w:r>
      <w:r w:rsidR="0005255A">
        <w:rPr>
          <w:rFonts w:cs="Arial"/>
          <w:sz w:val="22"/>
          <w:szCs w:val="22"/>
          <w:lang w:val="en-US"/>
        </w:rPr>
        <w:t>C</w:t>
      </w:r>
      <w:r w:rsidRPr="002C5D58">
        <w:rPr>
          <w:rFonts w:cs="Arial"/>
          <w:sz w:val="22"/>
          <w:szCs w:val="22"/>
        </w:rPr>
        <w:t xml:space="preserve">are </w:t>
      </w:r>
      <w:r w:rsidR="0005255A">
        <w:rPr>
          <w:rFonts w:cs="Arial"/>
          <w:sz w:val="22"/>
          <w:szCs w:val="22"/>
          <w:lang w:val="en-US"/>
        </w:rPr>
        <w:t>O</w:t>
      </w:r>
      <w:r w:rsidRPr="002C5D58">
        <w:rPr>
          <w:rFonts w:cs="Arial"/>
          <w:sz w:val="22"/>
          <w:szCs w:val="22"/>
        </w:rPr>
        <w:t xml:space="preserve">perations purposes if the patient has requested </w:t>
      </w:r>
      <w:r w:rsidR="00937C72">
        <w:rPr>
          <w:rFonts w:cs="Arial"/>
          <w:sz w:val="22"/>
          <w:szCs w:val="22"/>
          <w:lang w:val="en-US"/>
        </w:rPr>
        <w:t>a</w:t>
      </w:r>
      <w:r w:rsidRPr="002C5D58">
        <w:rPr>
          <w:rFonts w:cs="Arial"/>
          <w:sz w:val="22"/>
          <w:szCs w:val="22"/>
        </w:rPr>
        <w:t xml:space="preserve"> special restriction, and</w:t>
      </w:r>
      <w:r w:rsidR="00D74F94">
        <w:rPr>
          <w:rFonts w:cs="Arial"/>
          <w:sz w:val="22"/>
          <w:szCs w:val="22"/>
          <w:lang w:val="en-US"/>
        </w:rPr>
        <w:t>/or</w:t>
      </w:r>
      <w:r w:rsidRPr="002C5D58">
        <w:rPr>
          <w:rFonts w:cs="Arial"/>
          <w:sz w:val="22"/>
          <w:szCs w:val="22"/>
        </w:rPr>
        <w:t xml:space="preserve"> has paid out of pocket in full for the health care item or service to which the PHI solely relates</w:t>
      </w:r>
      <w:r w:rsidR="005B04B7" w:rsidRPr="002C5D58">
        <w:rPr>
          <w:rFonts w:cs="Arial"/>
          <w:sz w:val="22"/>
          <w:szCs w:val="22"/>
          <w:lang w:val="en-US"/>
        </w:rPr>
        <w:t>.</w:t>
      </w:r>
      <w:r w:rsidRPr="002C5D58">
        <w:rPr>
          <w:rFonts w:cs="Arial"/>
          <w:sz w:val="22"/>
          <w:szCs w:val="22"/>
        </w:rPr>
        <w:t xml:space="preserve"> </w:t>
      </w:r>
      <w:r w:rsidR="005B04B7" w:rsidRPr="002C5D58">
        <w:rPr>
          <w:rFonts w:cs="Arial"/>
          <w:sz w:val="22"/>
          <w:szCs w:val="22"/>
          <w:lang w:val="en-US"/>
        </w:rPr>
        <w:t>(</w:t>
      </w:r>
      <w:r w:rsidRPr="002C5D58">
        <w:rPr>
          <w:rFonts w:cs="Arial"/>
          <w:sz w:val="22"/>
          <w:szCs w:val="22"/>
        </w:rPr>
        <w:t xml:space="preserve">42 U.S.C. </w:t>
      </w:r>
      <w:r w:rsidR="00914431">
        <w:rPr>
          <w:rFonts w:cs="Arial"/>
          <w:sz w:val="22"/>
          <w:szCs w:val="22"/>
          <w:lang w:val="en-US"/>
        </w:rPr>
        <w:t>§</w:t>
      </w:r>
      <w:r w:rsidRPr="002C5D58">
        <w:rPr>
          <w:rFonts w:cs="Arial"/>
          <w:sz w:val="22"/>
          <w:szCs w:val="22"/>
        </w:rPr>
        <w:t xml:space="preserve"> 17935(a) and 45 C.F.R. </w:t>
      </w:r>
      <w:r w:rsidR="00914431">
        <w:rPr>
          <w:rFonts w:cs="Arial"/>
          <w:sz w:val="22"/>
          <w:szCs w:val="22"/>
          <w:lang w:val="en-US"/>
        </w:rPr>
        <w:t>§</w:t>
      </w:r>
      <w:r w:rsidRPr="002C5D58">
        <w:rPr>
          <w:rFonts w:cs="Arial"/>
          <w:sz w:val="22"/>
          <w:szCs w:val="22"/>
        </w:rPr>
        <w:t xml:space="preserve"> 164.522(a)(1)(i)(A).</w:t>
      </w:r>
      <w:r w:rsidR="005B04B7" w:rsidRPr="002C5D58">
        <w:rPr>
          <w:rFonts w:cs="Arial"/>
          <w:sz w:val="22"/>
          <w:szCs w:val="22"/>
          <w:lang w:val="en-US"/>
        </w:rPr>
        <w:t>)</w:t>
      </w:r>
    </w:p>
    <w:p w14:paraId="0049E860" w14:textId="790DC6FD" w:rsidR="00A64D63" w:rsidRDefault="00A64D63"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BA </w:t>
      </w:r>
      <w:r w:rsidR="00937C72">
        <w:rPr>
          <w:rFonts w:cs="Arial"/>
          <w:sz w:val="22"/>
          <w:szCs w:val="22"/>
        </w:rPr>
        <w:t>must</w:t>
      </w:r>
      <w:r w:rsidRPr="002C5D58">
        <w:rPr>
          <w:rFonts w:cs="Arial"/>
          <w:sz w:val="22"/>
          <w:szCs w:val="22"/>
        </w:rPr>
        <w:t xml:space="preserve"> not directly or indirectly receive remuneration in exchange for PHI, except with the prior written consent of </w:t>
      </w:r>
      <w:r w:rsidR="00D23389" w:rsidRPr="002C5D58">
        <w:rPr>
          <w:rFonts w:cs="Arial"/>
          <w:sz w:val="22"/>
          <w:szCs w:val="22"/>
        </w:rPr>
        <w:t>CE</w:t>
      </w:r>
      <w:r w:rsidRPr="002C5D58">
        <w:rPr>
          <w:rFonts w:cs="Arial"/>
          <w:sz w:val="22"/>
          <w:szCs w:val="22"/>
        </w:rPr>
        <w:t xml:space="preserve"> and as permitted by </w:t>
      </w:r>
      <w:r w:rsidR="00BA594D" w:rsidRPr="002C5D58">
        <w:rPr>
          <w:rFonts w:cs="Arial"/>
          <w:sz w:val="22"/>
          <w:szCs w:val="22"/>
          <w:lang w:val="en-US"/>
        </w:rPr>
        <w:t xml:space="preserve">the </w:t>
      </w:r>
      <w:r w:rsidRPr="002C5D58">
        <w:rPr>
          <w:rFonts w:cs="Arial"/>
          <w:sz w:val="22"/>
          <w:szCs w:val="22"/>
        </w:rPr>
        <w:t>HITECH</w:t>
      </w:r>
      <w:r w:rsidR="00BA594D" w:rsidRPr="002C5D58">
        <w:rPr>
          <w:rFonts w:cs="Arial"/>
          <w:sz w:val="22"/>
          <w:szCs w:val="22"/>
          <w:lang w:val="en-US"/>
        </w:rPr>
        <w:t xml:space="preserve"> Act</w:t>
      </w:r>
      <w:r w:rsidR="005B04B7" w:rsidRPr="002C5D58">
        <w:rPr>
          <w:rFonts w:cs="Arial"/>
          <w:sz w:val="22"/>
          <w:szCs w:val="22"/>
          <w:lang w:val="en-US"/>
        </w:rPr>
        <w:t xml:space="preserve"> (</w:t>
      </w:r>
      <w:r w:rsidRPr="002C5D58">
        <w:rPr>
          <w:rFonts w:cs="Arial"/>
          <w:sz w:val="22"/>
          <w:szCs w:val="22"/>
        </w:rPr>
        <w:t xml:space="preserve">42 U.S.C. </w:t>
      </w:r>
      <w:r w:rsidR="00914431">
        <w:rPr>
          <w:rFonts w:cs="Arial"/>
          <w:sz w:val="22"/>
          <w:szCs w:val="22"/>
          <w:lang w:val="en-US"/>
        </w:rPr>
        <w:t>§</w:t>
      </w:r>
      <w:r w:rsidRPr="002C5D58">
        <w:rPr>
          <w:rFonts w:cs="Arial"/>
          <w:sz w:val="22"/>
          <w:szCs w:val="22"/>
        </w:rPr>
        <w:t xml:space="preserve"> 17935(d)(2); and 45 C.F.R. </w:t>
      </w:r>
      <w:r w:rsidR="00914431">
        <w:rPr>
          <w:rFonts w:cs="Arial"/>
          <w:sz w:val="22"/>
          <w:szCs w:val="22"/>
          <w:lang w:val="en-US"/>
        </w:rPr>
        <w:t>§</w:t>
      </w:r>
      <w:r w:rsidRPr="002C5D58">
        <w:rPr>
          <w:rFonts w:cs="Arial"/>
          <w:sz w:val="22"/>
          <w:szCs w:val="22"/>
        </w:rPr>
        <w:t xml:space="preserve"> 164.508</w:t>
      </w:r>
      <w:r w:rsidR="005B04B7" w:rsidRPr="002C5D58">
        <w:rPr>
          <w:rFonts w:cs="Arial"/>
          <w:sz w:val="22"/>
          <w:szCs w:val="22"/>
          <w:lang w:val="en-US"/>
        </w:rPr>
        <w:t>);</w:t>
      </w:r>
      <w:r w:rsidRPr="002C5D58">
        <w:rPr>
          <w:rFonts w:cs="Arial"/>
          <w:sz w:val="22"/>
          <w:szCs w:val="22"/>
        </w:rPr>
        <w:t xml:space="preserve"> however, this prohibition shall not affect payment by </w:t>
      </w:r>
      <w:r w:rsidR="00D23389" w:rsidRPr="002C5D58">
        <w:rPr>
          <w:rFonts w:cs="Arial"/>
          <w:sz w:val="22"/>
          <w:szCs w:val="22"/>
        </w:rPr>
        <w:t>CE</w:t>
      </w:r>
      <w:r w:rsidRPr="002C5D58">
        <w:rPr>
          <w:rFonts w:cs="Arial"/>
          <w:sz w:val="22"/>
          <w:szCs w:val="22"/>
        </w:rPr>
        <w:t xml:space="preserve"> to BA for services provided pursuant to this Agreement.</w:t>
      </w:r>
    </w:p>
    <w:p w14:paraId="2A726997" w14:textId="4DA419CA" w:rsidR="00AC5B91" w:rsidRPr="002C5D58" w:rsidRDefault="00DD53DE" w:rsidP="002C5D58">
      <w:pPr>
        <w:numPr>
          <w:ilvl w:val="1"/>
          <w:numId w:val="2"/>
        </w:numPr>
        <w:suppressAutoHyphens/>
        <w:spacing w:after="120"/>
        <w:ind w:left="1080"/>
        <w:jc w:val="both"/>
        <w:rPr>
          <w:rFonts w:cs="Arial"/>
          <w:szCs w:val="22"/>
          <w:u w:val="single"/>
        </w:rPr>
      </w:pPr>
      <w:r>
        <w:rPr>
          <w:rFonts w:cs="Arial"/>
          <w:szCs w:val="22"/>
          <w:u w:val="single"/>
        </w:rPr>
        <w:t>Appropriate</w:t>
      </w:r>
      <w:r w:rsidR="00AC5B91" w:rsidRPr="002C5D58">
        <w:rPr>
          <w:rFonts w:cs="Arial"/>
          <w:szCs w:val="22"/>
          <w:u w:val="single"/>
        </w:rPr>
        <w:t xml:space="preserve"> Safeguards</w:t>
      </w:r>
    </w:p>
    <w:p w14:paraId="0087FDD9" w14:textId="6AA86D97" w:rsidR="00180D1A" w:rsidRDefault="005075D0" w:rsidP="002C5D58">
      <w:pPr>
        <w:pStyle w:val="Header"/>
        <w:numPr>
          <w:ilvl w:val="0"/>
          <w:numId w:val="8"/>
        </w:numPr>
        <w:tabs>
          <w:tab w:val="clear" w:pos="4320"/>
          <w:tab w:val="clear" w:pos="8640"/>
        </w:tabs>
        <w:spacing w:after="120"/>
        <w:ind w:left="1350"/>
        <w:jc w:val="both"/>
        <w:rPr>
          <w:rFonts w:cs="Arial"/>
          <w:sz w:val="22"/>
          <w:szCs w:val="22"/>
          <w:lang w:val="en-US"/>
        </w:rPr>
      </w:pPr>
      <w:r w:rsidRPr="002C5D58">
        <w:rPr>
          <w:rFonts w:cs="Arial"/>
          <w:sz w:val="22"/>
          <w:szCs w:val="22"/>
          <w:lang w:val="en-US"/>
        </w:rPr>
        <w:t xml:space="preserve">BA </w:t>
      </w:r>
      <w:r w:rsidR="00937C72">
        <w:rPr>
          <w:rFonts w:cs="Arial"/>
          <w:sz w:val="22"/>
          <w:szCs w:val="22"/>
          <w:lang w:val="en-US"/>
        </w:rPr>
        <w:t>must</w:t>
      </w:r>
      <w:r w:rsidRPr="002C5D58">
        <w:rPr>
          <w:rFonts w:cs="Arial"/>
          <w:sz w:val="22"/>
          <w:szCs w:val="22"/>
          <w:lang w:val="en-US"/>
        </w:rPr>
        <w:t xml:space="preserve"> implement </w:t>
      </w:r>
      <w:r w:rsidR="00DD53DE">
        <w:rPr>
          <w:rFonts w:cs="Arial"/>
          <w:sz w:val="22"/>
          <w:szCs w:val="22"/>
          <w:lang w:val="en-US"/>
        </w:rPr>
        <w:t>mutually acceptable</w:t>
      </w:r>
      <w:r w:rsidRPr="002C5D58">
        <w:rPr>
          <w:rFonts w:cs="Arial"/>
          <w:sz w:val="22"/>
          <w:szCs w:val="22"/>
          <w:lang w:val="en-US"/>
        </w:rPr>
        <w:t xml:space="preserve"> safeguards </w:t>
      </w:r>
      <w:r w:rsidR="00D74F94">
        <w:rPr>
          <w:rFonts w:cs="Arial"/>
          <w:sz w:val="22"/>
          <w:szCs w:val="22"/>
          <w:lang w:val="en-US"/>
        </w:rPr>
        <w:t xml:space="preserve">in alignment with applicable laws and regulatory regulations </w:t>
      </w:r>
      <w:r w:rsidRPr="002C5D58">
        <w:rPr>
          <w:rFonts w:cs="Arial"/>
          <w:sz w:val="22"/>
          <w:szCs w:val="22"/>
          <w:lang w:val="en-US"/>
        </w:rPr>
        <w:t xml:space="preserve">to prevent the </w:t>
      </w:r>
      <w:r w:rsidR="000558D4" w:rsidRPr="002C5D58">
        <w:rPr>
          <w:rFonts w:cs="Arial"/>
          <w:sz w:val="22"/>
          <w:szCs w:val="22"/>
          <w:lang w:val="en-US"/>
        </w:rPr>
        <w:t xml:space="preserve">unauthorized </w:t>
      </w:r>
      <w:r w:rsidRPr="002C5D58">
        <w:rPr>
          <w:rFonts w:cs="Arial"/>
          <w:sz w:val="22"/>
          <w:szCs w:val="22"/>
          <w:lang w:val="en-US"/>
        </w:rPr>
        <w:t xml:space="preserve">use or disclosure of </w:t>
      </w:r>
      <w:r w:rsidR="000558D4" w:rsidRPr="002C5D58">
        <w:rPr>
          <w:rFonts w:cs="Arial"/>
          <w:sz w:val="22"/>
          <w:szCs w:val="22"/>
          <w:lang w:val="en-US"/>
        </w:rPr>
        <w:t>PHI</w:t>
      </w:r>
      <w:r w:rsidRPr="002C5D58">
        <w:rPr>
          <w:rFonts w:cs="Arial"/>
          <w:sz w:val="22"/>
          <w:szCs w:val="22"/>
          <w:lang w:val="en-US"/>
        </w:rPr>
        <w:t xml:space="preserve">, including, but not limited to, administrative, physical and technical safeguards that reasonably protect the confidentiality, integrity and availability of the </w:t>
      </w:r>
      <w:r w:rsidR="000558D4" w:rsidRPr="002C5D58">
        <w:rPr>
          <w:rFonts w:cs="Arial"/>
          <w:sz w:val="22"/>
          <w:szCs w:val="22"/>
          <w:lang w:val="en-US"/>
        </w:rPr>
        <w:t>PHI</w:t>
      </w:r>
      <w:r w:rsidRPr="002C5D58">
        <w:rPr>
          <w:rFonts w:cs="Arial"/>
          <w:sz w:val="22"/>
          <w:szCs w:val="22"/>
          <w:lang w:val="en-US"/>
        </w:rPr>
        <w:t xml:space="preserve"> BA creates, receives</w:t>
      </w:r>
      <w:r w:rsidR="000558D4" w:rsidRPr="002C5D58">
        <w:rPr>
          <w:rFonts w:cs="Arial"/>
          <w:sz w:val="22"/>
          <w:szCs w:val="22"/>
          <w:lang w:val="en-US"/>
        </w:rPr>
        <w:t>,</w:t>
      </w:r>
      <w:r w:rsidRPr="002C5D58">
        <w:rPr>
          <w:rFonts w:cs="Arial"/>
          <w:sz w:val="22"/>
          <w:szCs w:val="22"/>
          <w:lang w:val="en-US"/>
        </w:rPr>
        <w:t xml:space="preserve"> maintains, or transmits on behalf of the </w:t>
      </w:r>
      <w:r w:rsidR="00D23389" w:rsidRPr="002C5D58">
        <w:rPr>
          <w:rFonts w:cs="Arial"/>
          <w:sz w:val="22"/>
          <w:szCs w:val="22"/>
          <w:lang w:val="en-US"/>
        </w:rPr>
        <w:t>CE</w:t>
      </w:r>
      <w:r w:rsidRPr="002C5D58">
        <w:rPr>
          <w:rFonts w:cs="Arial"/>
          <w:sz w:val="22"/>
          <w:szCs w:val="22"/>
          <w:lang w:val="en-US"/>
        </w:rPr>
        <w:t xml:space="preserve">, in accordance with 45 C.F.R. </w:t>
      </w:r>
      <w:r w:rsidR="00D23389" w:rsidRPr="002C5D58">
        <w:rPr>
          <w:rFonts w:cs="Arial"/>
          <w:sz w:val="22"/>
          <w:szCs w:val="22"/>
          <w:lang w:val="en-US"/>
        </w:rPr>
        <w:t>section</w:t>
      </w:r>
      <w:r w:rsidRPr="002C5D58">
        <w:rPr>
          <w:rFonts w:cs="Arial"/>
          <w:sz w:val="22"/>
          <w:szCs w:val="22"/>
          <w:lang w:val="en-US"/>
        </w:rPr>
        <w:t>s 164.308, 164.310, 164.312 and 164.316</w:t>
      </w:r>
      <w:r w:rsidR="005B04B7" w:rsidRPr="002C5D58">
        <w:rPr>
          <w:rFonts w:cs="Arial"/>
          <w:sz w:val="22"/>
          <w:szCs w:val="22"/>
          <w:lang w:val="en-US"/>
        </w:rPr>
        <w:t xml:space="preserve">. </w:t>
      </w:r>
      <w:r w:rsidRPr="002C5D58">
        <w:rPr>
          <w:rFonts w:cs="Arial"/>
          <w:sz w:val="22"/>
          <w:szCs w:val="22"/>
          <w:lang w:val="en-US"/>
        </w:rPr>
        <w:t xml:space="preserve"> [45 C.F.R. </w:t>
      </w:r>
      <w:r w:rsidR="00914431">
        <w:rPr>
          <w:rFonts w:cs="Arial"/>
          <w:sz w:val="22"/>
          <w:szCs w:val="22"/>
          <w:lang w:val="en-US"/>
        </w:rPr>
        <w:t>§§</w:t>
      </w:r>
      <w:r w:rsidRPr="002C5D58">
        <w:rPr>
          <w:rFonts w:cs="Arial"/>
          <w:sz w:val="22"/>
          <w:szCs w:val="22"/>
          <w:lang w:val="en-US"/>
        </w:rPr>
        <w:t xml:space="preserve"> 164.504(e)(2)(ii)(b)</w:t>
      </w:r>
      <w:r w:rsidR="000558D4" w:rsidRPr="002C5D58">
        <w:rPr>
          <w:rFonts w:cs="Arial"/>
          <w:sz w:val="22"/>
          <w:szCs w:val="22"/>
          <w:lang w:val="en-US"/>
        </w:rPr>
        <w:t xml:space="preserve"> and</w:t>
      </w:r>
      <w:r w:rsidRPr="002C5D58">
        <w:rPr>
          <w:rFonts w:cs="Arial"/>
          <w:sz w:val="22"/>
          <w:szCs w:val="22"/>
          <w:lang w:val="en-US"/>
        </w:rPr>
        <w:t xml:space="preserve"> 164.308(b)</w:t>
      </w:r>
      <w:r w:rsidR="005B04B7" w:rsidRPr="002C5D58">
        <w:rPr>
          <w:rFonts w:cs="Arial"/>
          <w:sz w:val="22"/>
          <w:szCs w:val="22"/>
          <w:lang w:val="en-US"/>
        </w:rPr>
        <w:t>.</w:t>
      </w:r>
      <w:r w:rsidRPr="002C5D58">
        <w:rPr>
          <w:rFonts w:cs="Arial"/>
          <w:sz w:val="22"/>
          <w:szCs w:val="22"/>
          <w:lang w:val="en-US"/>
        </w:rPr>
        <w:t>]</w:t>
      </w:r>
    </w:p>
    <w:p w14:paraId="4E98A57A" w14:textId="5FDC5A48" w:rsidR="00AD2973" w:rsidRPr="0005255A" w:rsidRDefault="00AD2973" w:rsidP="00AD2973">
      <w:pPr>
        <w:pStyle w:val="Header"/>
        <w:numPr>
          <w:ilvl w:val="1"/>
          <w:numId w:val="8"/>
        </w:numPr>
        <w:tabs>
          <w:tab w:val="clear" w:pos="4320"/>
          <w:tab w:val="clear" w:pos="8640"/>
        </w:tabs>
        <w:spacing w:after="120"/>
        <w:jc w:val="both"/>
        <w:rPr>
          <w:rFonts w:cs="Arial"/>
          <w:sz w:val="22"/>
          <w:szCs w:val="22"/>
          <w:lang w:val="en-US"/>
        </w:rPr>
      </w:pPr>
      <w:r w:rsidRPr="0005255A">
        <w:rPr>
          <w:rFonts w:cs="Arial"/>
          <w:i/>
          <w:sz w:val="22"/>
          <w:szCs w:val="22"/>
          <w:lang w:val="en-US"/>
        </w:rPr>
        <w:t>Cloud Storage</w:t>
      </w:r>
      <w:r w:rsidRPr="0005255A">
        <w:rPr>
          <w:rFonts w:cs="Arial"/>
          <w:sz w:val="22"/>
          <w:szCs w:val="22"/>
          <w:lang w:val="en-US"/>
        </w:rPr>
        <w:t xml:space="preserve"> – </w:t>
      </w:r>
      <w:r w:rsidR="004F405D" w:rsidRPr="0005255A">
        <w:rPr>
          <w:rFonts w:cs="Arial"/>
          <w:sz w:val="22"/>
          <w:szCs w:val="22"/>
          <w:lang w:val="en-US"/>
        </w:rPr>
        <w:t xml:space="preserve">Whenever possible, ePHI should be stored on secure network storage that is maintained by the County. EPHI </w:t>
      </w:r>
      <w:r w:rsidRPr="0005255A">
        <w:rPr>
          <w:rFonts w:cs="Arial"/>
          <w:sz w:val="22"/>
          <w:szCs w:val="22"/>
          <w:lang w:val="en-US"/>
        </w:rPr>
        <w:t xml:space="preserve">that </w:t>
      </w:r>
      <w:r w:rsidR="004F405D" w:rsidRPr="0005255A">
        <w:rPr>
          <w:rFonts w:cs="Arial"/>
          <w:sz w:val="22"/>
          <w:szCs w:val="22"/>
          <w:lang w:val="en-US"/>
        </w:rPr>
        <w:t xml:space="preserve">must be </w:t>
      </w:r>
      <w:r w:rsidRPr="0005255A">
        <w:rPr>
          <w:rFonts w:cs="Arial"/>
          <w:sz w:val="22"/>
          <w:szCs w:val="22"/>
          <w:lang w:val="en-US"/>
        </w:rPr>
        <w:t xml:space="preserve">stored in the cloud </w:t>
      </w:r>
      <w:r w:rsidR="004F405D" w:rsidRPr="0005255A">
        <w:rPr>
          <w:rFonts w:cs="Arial"/>
          <w:sz w:val="22"/>
          <w:szCs w:val="22"/>
          <w:lang w:val="en-US"/>
        </w:rPr>
        <w:t>must</w:t>
      </w:r>
      <w:r w:rsidRPr="0005255A">
        <w:rPr>
          <w:rFonts w:cs="Arial"/>
          <w:sz w:val="22"/>
          <w:szCs w:val="22"/>
          <w:lang w:val="en-US"/>
        </w:rPr>
        <w:t xml:space="preserve"> meet the requirements of </w:t>
      </w:r>
      <w:r w:rsidRPr="00C33BD2">
        <w:rPr>
          <w:rFonts w:cs="Arial"/>
          <w:sz w:val="22"/>
          <w:szCs w:val="22"/>
          <w:highlight w:val="yellow"/>
          <w:lang w:val="en-US"/>
        </w:rPr>
        <w:t>Attachment A</w:t>
      </w:r>
      <w:r w:rsidRPr="0005255A">
        <w:rPr>
          <w:rFonts w:cs="Arial"/>
          <w:sz w:val="22"/>
          <w:szCs w:val="22"/>
          <w:lang w:val="en-US"/>
        </w:rPr>
        <w:t xml:space="preserve"> and must be approved by </w:t>
      </w:r>
      <w:r w:rsidR="001F756C" w:rsidRPr="0005255A">
        <w:rPr>
          <w:rFonts w:cs="Arial"/>
          <w:sz w:val="22"/>
          <w:szCs w:val="22"/>
          <w:lang w:val="en-US"/>
        </w:rPr>
        <w:t xml:space="preserve">the CE and </w:t>
      </w:r>
      <w:r w:rsidR="00B22CF7">
        <w:rPr>
          <w:rFonts w:cs="Arial"/>
          <w:sz w:val="22"/>
          <w:szCs w:val="22"/>
          <w:lang w:val="en-US"/>
        </w:rPr>
        <w:t xml:space="preserve">the County’s </w:t>
      </w:r>
      <w:r w:rsidR="00136728">
        <w:rPr>
          <w:rFonts w:cs="Arial"/>
          <w:sz w:val="22"/>
          <w:szCs w:val="22"/>
          <w:lang w:val="en-US"/>
        </w:rPr>
        <w:t xml:space="preserve">Innovation and Technology Department’s </w:t>
      </w:r>
      <w:r w:rsidR="000E1725">
        <w:rPr>
          <w:rFonts w:cs="Arial"/>
          <w:sz w:val="22"/>
          <w:szCs w:val="22"/>
          <w:lang w:val="en-US"/>
        </w:rPr>
        <w:t xml:space="preserve">(ITD) </w:t>
      </w:r>
      <w:r w:rsidR="00B22CF7">
        <w:rPr>
          <w:rFonts w:cs="Arial"/>
          <w:sz w:val="22"/>
          <w:szCs w:val="22"/>
          <w:lang w:val="en-US"/>
        </w:rPr>
        <w:t>Chief Information Security Officer</w:t>
      </w:r>
      <w:r w:rsidR="000E1725">
        <w:rPr>
          <w:rFonts w:cs="Arial"/>
          <w:sz w:val="22"/>
          <w:szCs w:val="22"/>
          <w:lang w:val="en-US"/>
        </w:rPr>
        <w:t xml:space="preserve"> (CSO)</w:t>
      </w:r>
      <w:r w:rsidRPr="0005255A">
        <w:rPr>
          <w:rFonts w:cs="Arial"/>
          <w:sz w:val="22"/>
          <w:szCs w:val="22"/>
          <w:lang w:val="en-US"/>
        </w:rPr>
        <w:t>.</w:t>
      </w:r>
    </w:p>
    <w:p w14:paraId="62F8347C" w14:textId="6A2732B1" w:rsidR="00AD2973" w:rsidRPr="0005255A" w:rsidRDefault="00AD2973" w:rsidP="00AD2973">
      <w:pPr>
        <w:pStyle w:val="Header"/>
        <w:numPr>
          <w:ilvl w:val="1"/>
          <w:numId w:val="8"/>
        </w:numPr>
        <w:tabs>
          <w:tab w:val="clear" w:pos="4320"/>
          <w:tab w:val="clear" w:pos="8640"/>
        </w:tabs>
        <w:spacing w:after="120"/>
        <w:jc w:val="both"/>
        <w:rPr>
          <w:rFonts w:cs="Arial"/>
          <w:sz w:val="22"/>
          <w:szCs w:val="22"/>
          <w:lang w:val="en-US"/>
        </w:rPr>
      </w:pPr>
      <w:r w:rsidRPr="0005255A">
        <w:rPr>
          <w:rFonts w:cs="Arial"/>
          <w:i/>
          <w:sz w:val="22"/>
          <w:szCs w:val="22"/>
          <w:lang w:val="en-US"/>
        </w:rPr>
        <w:t>Encryption</w:t>
      </w:r>
    </w:p>
    <w:p w14:paraId="7CD0B153" w14:textId="68581246" w:rsidR="00AD2973" w:rsidRPr="0005255A" w:rsidRDefault="00AD2973" w:rsidP="00AD2973">
      <w:pPr>
        <w:pStyle w:val="Header"/>
        <w:numPr>
          <w:ilvl w:val="2"/>
          <w:numId w:val="8"/>
        </w:numPr>
        <w:tabs>
          <w:tab w:val="clear" w:pos="4320"/>
          <w:tab w:val="clear" w:pos="8640"/>
        </w:tabs>
        <w:spacing w:after="120"/>
        <w:jc w:val="both"/>
        <w:rPr>
          <w:rFonts w:cs="Arial"/>
          <w:sz w:val="22"/>
          <w:szCs w:val="22"/>
          <w:lang w:val="en-US"/>
        </w:rPr>
      </w:pPr>
      <w:r w:rsidRPr="0005255A">
        <w:rPr>
          <w:rFonts w:cs="Arial"/>
          <w:sz w:val="22"/>
          <w:szCs w:val="22"/>
          <w:lang w:val="en-US"/>
        </w:rPr>
        <w:t xml:space="preserve">BA must not store any </w:t>
      </w:r>
      <w:r w:rsidR="001B3E99" w:rsidRPr="0005255A">
        <w:rPr>
          <w:rFonts w:cs="Arial"/>
          <w:sz w:val="22"/>
          <w:szCs w:val="22"/>
          <w:lang w:val="en-US"/>
        </w:rPr>
        <w:t>e</w:t>
      </w:r>
      <w:r w:rsidRPr="0005255A">
        <w:rPr>
          <w:rFonts w:cs="Arial"/>
          <w:sz w:val="22"/>
          <w:szCs w:val="22"/>
          <w:lang w:val="en-US"/>
        </w:rPr>
        <w:t xml:space="preserve">PHI obtained from CE on any unencrypted portable media, hard drive, laptop, </w:t>
      </w:r>
      <w:r w:rsidR="004F405D" w:rsidRPr="0005255A">
        <w:rPr>
          <w:rFonts w:cs="Arial"/>
          <w:sz w:val="22"/>
          <w:szCs w:val="22"/>
          <w:lang w:val="en-US"/>
        </w:rPr>
        <w:t xml:space="preserve">or </w:t>
      </w:r>
      <w:r w:rsidRPr="0005255A">
        <w:rPr>
          <w:rFonts w:cs="Arial"/>
          <w:sz w:val="22"/>
          <w:szCs w:val="22"/>
          <w:lang w:val="en-US"/>
        </w:rPr>
        <w:t>tablet.</w:t>
      </w:r>
    </w:p>
    <w:p w14:paraId="23B63FEE" w14:textId="443139D7" w:rsidR="00AD2973" w:rsidRPr="0005255A" w:rsidRDefault="00AD2973" w:rsidP="00AD2973">
      <w:pPr>
        <w:pStyle w:val="Header"/>
        <w:numPr>
          <w:ilvl w:val="2"/>
          <w:numId w:val="8"/>
        </w:numPr>
        <w:tabs>
          <w:tab w:val="clear" w:pos="4320"/>
          <w:tab w:val="clear" w:pos="8640"/>
        </w:tabs>
        <w:spacing w:after="120"/>
        <w:jc w:val="both"/>
        <w:rPr>
          <w:rFonts w:cs="Arial"/>
          <w:sz w:val="22"/>
          <w:szCs w:val="22"/>
          <w:lang w:val="en-US"/>
        </w:rPr>
      </w:pPr>
      <w:r w:rsidRPr="0005255A">
        <w:rPr>
          <w:rFonts w:cs="Arial"/>
          <w:sz w:val="22"/>
          <w:szCs w:val="22"/>
          <w:lang w:val="en-US"/>
        </w:rPr>
        <w:t xml:space="preserve">EPHI must be encrypted when transmitted outside of the County network. </w:t>
      </w:r>
    </w:p>
    <w:p w14:paraId="4189EB93" w14:textId="50E617F4" w:rsidR="00AD2973" w:rsidRPr="0005255A" w:rsidRDefault="00AD2973" w:rsidP="00AD2973">
      <w:pPr>
        <w:pStyle w:val="Header"/>
        <w:numPr>
          <w:ilvl w:val="2"/>
          <w:numId w:val="8"/>
        </w:numPr>
        <w:tabs>
          <w:tab w:val="clear" w:pos="4320"/>
          <w:tab w:val="clear" w:pos="8640"/>
        </w:tabs>
        <w:spacing w:after="120"/>
        <w:jc w:val="both"/>
        <w:rPr>
          <w:rFonts w:cs="Arial"/>
          <w:sz w:val="22"/>
          <w:szCs w:val="22"/>
          <w:lang w:val="en-US"/>
        </w:rPr>
      </w:pPr>
      <w:r w:rsidRPr="0005255A">
        <w:rPr>
          <w:rFonts w:cs="Arial"/>
          <w:sz w:val="22"/>
          <w:szCs w:val="22"/>
          <w:lang w:val="en-US"/>
        </w:rPr>
        <w:lastRenderedPageBreak/>
        <w:t xml:space="preserve">Encryption </w:t>
      </w:r>
      <w:r w:rsidR="00937C72">
        <w:rPr>
          <w:rFonts w:cs="Arial"/>
          <w:sz w:val="22"/>
          <w:szCs w:val="22"/>
          <w:lang w:val="en-US"/>
        </w:rPr>
        <w:t>must</w:t>
      </w:r>
      <w:r w:rsidRPr="0005255A">
        <w:rPr>
          <w:rFonts w:cs="Arial"/>
          <w:sz w:val="22"/>
          <w:szCs w:val="22"/>
          <w:lang w:val="en-US"/>
        </w:rPr>
        <w:t xml:space="preserve"> be 128 bit AES encryption or greater with separately stored decryption keys.</w:t>
      </w:r>
    </w:p>
    <w:p w14:paraId="53C7F1FB" w14:textId="1542B6A4" w:rsidR="00AD2973" w:rsidRPr="0005255A" w:rsidRDefault="00AD2973" w:rsidP="00AD2973">
      <w:pPr>
        <w:pStyle w:val="Header"/>
        <w:numPr>
          <w:ilvl w:val="1"/>
          <w:numId w:val="8"/>
        </w:numPr>
        <w:tabs>
          <w:tab w:val="clear" w:pos="4320"/>
          <w:tab w:val="clear" w:pos="8640"/>
        </w:tabs>
        <w:spacing w:after="120"/>
        <w:jc w:val="both"/>
        <w:rPr>
          <w:rFonts w:cs="Arial"/>
          <w:sz w:val="22"/>
          <w:szCs w:val="22"/>
          <w:lang w:val="en-US"/>
        </w:rPr>
      </w:pPr>
      <w:r w:rsidRPr="0005255A">
        <w:rPr>
          <w:rFonts w:cs="Arial"/>
          <w:i/>
          <w:sz w:val="22"/>
          <w:szCs w:val="22"/>
          <w:lang w:val="en-US"/>
        </w:rPr>
        <w:t xml:space="preserve">Anti-Virus/Anti-Malware - </w:t>
      </w:r>
      <w:r w:rsidRPr="0005255A">
        <w:rPr>
          <w:rFonts w:cs="Arial"/>
          <w:sz w:val="22"/>
          <w:szCs w:val="22"/>
          <w:lang w:val="en-US"/>
        </w:rPr>
        <w:t xml:space="preserve">BA </w:t>
      </w:r>
      <w:r w:rsidR="00937C72">
        <w:rPr>
          <w:rFonts w:cs="Arial"/>
          <w:sz w:val="22"/>
          <w:szCs w:val="22"/>
          <w:lang w:val="en-US"/>
        </w:rPr>
        <w:t>must</w:t>
      </w:r>
      <w:r w:rsidRPr="0005255A">
        <w:rPr>
          <w:rFonts w:cs="Arial"/>
          <w:sz w:val="22"/>
          <w:szCs w:val="22"/>
          <w:lang w:val="en-US"/>
        </w:rPr>
        <w:t xml:space="preserve"> ensure that all workstations, laptops and other systems that process and/or store ePHI have a commercial third-party anti-virus/anti-malware software solution and are updated when a new anti-virus/anti-malware definition/software release is available. </w:t>
      </w:r>
    </w:p>
    <w:p w14:paraId="52FE2EDB" w14:textId="61CF73C5" w:rsidR="00AD2973" w:rsidRPr="0005255A" w:rsidRDefault="00AD2973" w:rsidP="00AD2973">
      <w:pPr>
        <w:pStyle w:val="Header"/>
        <w:numPr>
          <w:ilvl w:val="1"/>
          <w:numId w:val="8"/>
        </w:numPr>
        <w:tabs>
          <w:tab w:val="clear" w:pos="4320"/>
          <w:tab w:val="clear" w:pos="8640"/>
        </w:tabs>
        <w:spacing w:after="120"/>
        <w:jc w:val="both"/>
        <w:rPr>
          <w:rFonts w:cs="Arial"/>
          <w:sz w:val="22"/>
          <w:szCs w:val="22"/>
          <w:lang w:val="en-US"/>
        </w:rPr>
      </w:pPr>
      <w:r w:rsidRPr="0005255A">
        <w:rPr>
          <w:rFonts w:cs="Arial"/>
          <w:i/>
          <w:sz w:val="22"/>
          <w:szCs w:val="22"/>
          <w:lang w:val="en-US"/>
        </w:rPr>
        <w:t>Security Patches</w:t>
      </w:r>
      <w:r w:rsidR="00266BD7" w:rsidRPr="0005255A">
        <w:rPr>
          <w:rFonts w:cs="Arial"/>
          <w:i/>
          <w:sz w:val="22"/>
          <w:szCs w:val="22"/>
          <w:lang w:val="en-US"/>
        </w:rPr>
        <w:t xml:space="preserve"> </w:t>
      </w:r>
      <w:r w:rsidRPr="0005255A">
        <w:rPr>
          <w:sz w:val="22"/>
          <w:szCs w:val="22"/>
          <w:lang w:val="en-US"/>
        </w:rPr>
        <w:t xml:space="preserve">- BA </w:t>
      </w:r>
      <w:r w:rsidR="00937C72">
        <w:rPr>
          <w:sz w:val="22"/>
          <w:szCs w:val="22"/>
          <w:lang w:val="en-US"/>
        </w:rPr>
        <w:t>must</w:t>
      </w:r>
      <w:r w:rsidRPr="0005255A">
        <w:rPr>
          <w:sz w:val="22"/>
          <w:szCs w:val="22"/>
          <w:lang w:val="en-US"/>
        </w:rPr>
        <w:t xml:space="preserve"> ensure that all workstations, laptops and other systems that process and/or store </w:t>
      </w:r>
      <w:r w:rsidR="001B3E99" w:rsidRPr="0005255A">
        <w:rPr>
          <w:sz w:val="22"/>
          <w:szCs w:val="22"/>
          <w:lang w:val="en-US"/>
        </w:rPr>
        <w:t>e</w:t>
      </w:r>
      <w:r w:rsidRPr="0005255A">
        <w:rPr>
          <w:sz w:val="22"/>
          <w:szCs w:val="22"/>
          <w:lang w:val="en-US"/>
        </w:rPr>
        <w:t>PHI have current security patches applied and are up-to-date.</w:t>
      </w:r>
    </w:p>
    <w:p w14:paraId="75F36ECA" w14:textId="7F206894" w:rsidR="00266BD7" w:rsidRPr="0005255A" w:rsidRDefault="00266BD7" w:rsidP="00521B0F">
      <w:pPr>
        <w:pStyle w:val="Header"/>
        <w:numPr>
          <w:ilvl w:val="1"/>
          <w:numId w:val="8"/>
        </w:numPr>
        <w:tabs>
          <w:tab w:val="clear" w:pos="4320"/>
          <w:tab w:val="clear" w:pos="8640"/>
        </w:tabs>
        <w:spacing w:after="120"/>
        <w:jc w:val="both"/>
        <w:rPr>
          <w:rFonts w:cs="Arial"/>
          <w:i/>
          <w:sz w:val="24"/>
          <w:szCs w:val="22"/>
          <w:lang w:val="en-US"/>
        </w:rPr>
      </w:pPr>
      <w:r w:rsidRPr="0005255A">
        <w:rPr>
          <w:rFonts w:cs="Arial"/>
          <w:i/>
          <w:sz w:val="22"/>
          <w:szCs w:val="22"/>
        </w:rPr>
        <w:t>Minimum Necessary</w:t>
      </w:r>
      <w:r w:rsidRPr="0005255A">
        <w:rPr>
          <w:rFonts w:cs="Arial"/>
          <w:sz w:val="22"/>
          <w:szCs w:val="22"/>
        </w:rPr>
        <w:t xml:space="preserve"> – BA </w:t>
      </w:r>
      <w:r w:rsidR="00937C72">
        <w:rPr>
          <w:rFonts w:cs="Arial"/>
          <w:sz w:val="22"/>
          <w:szCs w:val="22"/>
        </w:rPr>
        <w:t>must</w:t>
      </w:r>
      <w:r w:rsidRPr="0005255A">
        <w:rPr>
          <w:rFonts w:cs="Arial"/>
          <w:sz w:val="22"/>
          <w:szCs w:val="22"/>
        </w:rPr>
        <w:t xml:space="preserve"> document and enforce physical and technical safeguards that ensure access by its workforce to CE’s PHI is restricted to the </w:t>
      </w:r>
      <w:r w:rsidRPr="0005255A">
        <w:rPr>
          <w:rFonts w:cs="Arial"/>
          <w:sz w:val="22"/>
          <w:szCs w:val="22"/>
          <w:lang w:val="en-US"/>
        </w:rPr>
        <w:t>minimum necessary CE PHI required to fulfill the obligations of this MOU</w:t>
      </w:r>
      <w:r w:rsidRPr="0005255A">
        <w:rPr>
          <w:rFonts w:cs="Arial"/>
          <w:i/>
          <w:sz w:val="24"/>
          <w:szCs w:val="22"/>
          <w:lang w:val="en-US"/>
        </w:rPr>
        <w:t xml:space="preserve">. </w:t>
      </w:r>
    </w:p>
    <w:p w14:paraId="1A1EA076" w14:textId="56812A57" w:rsidR="00521B0F" w:rsidRPr="0005255A" w:rsidRDefault="00521B0F" w:rsidP="00521B0F">
      <w:pPr>
        <w:pStyle w:val="Header"/>
        <w:numPr>
          <w:ilvl w:val="1"/>
          <w:numId w:val="8"/>
        </w:numPr>
        <w:tabs>
          <w:tab w:val="clear" w:pos="4320"/>
          <w:tab w:val="clear" w:pos="8640"/>
        </w:tabs>
        <w:spacing w:after="120"/>
        <w:jc w:val="both"/>
        <w:rPr>
          <w:rFonts w:cs="Arial"/>
          <w:szCs w:val="22"/>
        </w:rPr>
      </w:pPr>
      <w:r w:rsidRPr="0005255A">
        <w:rPr>
          <w:rFonts w:cs="Arial"/>
          <w:i/>
          <w:sz w:val="22"/>
          <w:szCs w:val="22"/>
          <w:lang w:val="en-US"/>
        </w:rPr>
        <w:t xml:space="preserve">Restricted Access – </w:t>
      </w:r>
      <w:r w:rsidRPr="0005255A">
        <w:rPr>
          <w:rFonts w:cs="Arial"/>
          <w:sz w:val="22"/>
          <w:szCs w:val="22"/>
          <w:lang w:val="en-US"/>
        </w:rPr>
        <w:t xml:space="preserve">BA </w:t>
      </w:r>
      <w:r w:rsidR="00937C72">
        <w:rPr>
          <w:rFonts w:cs="Arial"/>
          <w:sz w:val="22"/>
          <w:szCs w:val="22"/>
          <w:lang w:val="en-US"/>
        </w:rPr>
        <w:t>must</w:t>
      </w:r>
      <w:r w:rsidRPr="0005255A">
        <w:rPr>
          <w:rFonts w:cs="Arial"/>
          <w:sz w:val="22"/>
          <w:szCs w:val="22"/>
          <w:lang w:val="en-US"/>
        </w:rPr>
        <w:t xml:space="preserve"> restrict access to all areas where PHI is accessed,</w:t>
      </w:r>
      <w:r w:rsidRPr="0005255A">
        <w:rPr>
          <w:rFonts w:cs="Arial"/>
          <w:szCs w:val="22"/>
        </w:rPr>
        <w:t xml:space="preserve"> </w:t>
      </w:r>
      <w:r w:rsidRPr="0005255A">
        <w:rPr>
          <w:rFonts w:cs="Arial"/>
          <w:sz w:val="22"/>
          <w:szCs w:val="22"/>
        </w:rPr>
        <w:t xml:space="preserve">processed, maintained or stored to ensure that PHI and systems containing </w:t>
      </w:r>
      <w:r w:rsidR="00877CA3" w:rsidRPr="0005255A">
        <w:rPr>
          <w:rFonts w:cs="Arial"/>
          <w:sz w:val="22"/>
          <w:szCs w:val="22"/>
          <w:lang w:val="en-US"/>
        </w:rPr>
        <w:t>e</w:t>
      </w:r>
      <w:r w:rsidRPr="0005255A">
        <w:rPr>
          <w:rFonts w:cs="Arial"/>
          <w:sz w:val="22"/>
          <w:szCs w:val="22"/>
        </w:rPr>
        <w:t>PHI are protected from inappropriate access, use, disclosure, theft or loss.</w:t>
      </w:r>
    </w:p>
    <w:p w14:paraId="42DAD717" w14:textId="5690B9EA" w:rsidR="00180D1A" w:rsidRPr="002C5D58" w:rsidRDefault="005075D0" w:rsidP="002C5D58">
      <w:pPr>
        <w:pStyle w:val="Header"/>
        <w:numPr>
          <w:ilvl w:val="0"/>
          <w:numId w:val="8"/>
        </w:numPr>
        <w:tabs>
          <w:tab w:val="clear" w:pos="4320"/>
          <w:tab w:val="clear" w:pos="8640"/>
        </w:tabs>
        <w:spacing w:after="120"/>
        <w:ind w:left="1350"/>
        <w:jc w:val="both"/>
        <w:rPr>
          <w:rFonts w:cs="Arial"/>
          <w:sz w:val="22"/>
          <w:szCs w:val="22"/>
          <w:lang w:val="en-US"/>
        </w:rPr>
      </w:pPr>
      <w:r w:rsidRPr="002C5D58">
        <w:rPr>
          <w:rFonts w:cs="Arial"/>
          <w:sz w:val="22"/>
          <w:szCs w:val="22"/>
          <w:lang w:val="en-US"/>
        </w:rPr>
        <w:t xml:space="preserve">In accordance with 45 C.F.R. </w:t>
      </w:r>
      <w:r w:rsidR="00D23389" w:rsidRPr="002C5D58">
        <w:rPr>
          <w:rFonts w:cs="Arial"/>
          <w:sz w:val="22"/>
          <w:szCs w:val="22"/>
          <w:lang w:val="en-US"/>
        </w:rPr>
        <w:t>s</w:t>
      </w:r>
      <w:r w:rsidRPr="002C5D58">
        <w:rPr>
          <w:rFonts w:cs="Arial"/>
          <w:sz w:val="22"/>
          <w:szCs w:val="22"/>
          <w:lang w:val="en-US"/>
        </w:rPr>
        <w:t>ection 164.</w:t>
      </w:r>
      <w:r w:rsidR="00180D1A" w:rsidRPr="002C5D58">
        <w:rPr>
          <w:rFonts w:cs="Arial"/>
          <w:sz w:val="22"/>
          <w:szCs w:val="22"/>
          <w:lang w:val="en-US"/>
        </w:rPr>
        <w:t>3</w:t>
      </w:r>
      <w:r w:rsidRPr="002C5D58">
        <w:rPr>
          <w:rFonts w:cs="Arial"/>
          <w:sz w:val="22"/>
          <w:szCs w:val="22"/>
          <w:lang w:val="en-US"/>
        </w:rPr>
        <w:t xml:space="preserve">16, BA </w:t>
      </w:r>
      <w:r w:rsidR="00937C72">
        <w:rPr>
          <w:rFonts w:cs="Arial"/>
          <w:sz w:val="22"/>
          <w:szCs w:val="22"/>
          <w:lang w:val="en-US"/>
        </w:rPr>
        <w:t>must</w:t>
      </w:r>
      <w:r w:rsidRPr="002C5D58">
        <w:rPr>
          <w:rFonts w:cs="Arial"/>
          <w:sz w:val="22"/>
          <w:szCs w:val="22"/>
          <w:lang w:val="en-US"/>
        </w:rPr>
        <w:t xml:space="preserve"> maintain </w:t>
      </w:r>
      <w:r w:rsidR="00DD53DE">
        <w:rPr>
          <w:rFonts w:cs="Arial"/>
          <w:sz w:val="22"/>
          <w:szCs w:val="22"/>
          <w:lang w:val="en-US"/>
        </w:rPr>
        <w:t xml:space="preserve">current, </w:t>
      </w:r>
      <w:r w:rsidR="000558D4" w:rsidRPr="002C5D58">
        <w:rPr>
          <w:rFonts w:cs="Arial"/>
          <w:sz w:val="22"/>
          <w:szCs w:val="22"/>
          <w:lang w:val="en-US"/>
        </w:rPr>
        <w:t>reasonable and appropriate</w:t>
      </w:r>
      <w:r w:rsidRPr="002C5D58">
        <w:rPr>
          <w:rFonts w:cs="Arial"/>
          <w:sz w:val="22"/>
          <w:szCs w:val="22"/>
          <w:lang w:val="en-US"/>
        </w:rPr>
        <w:t xml:space="preserve"> written policies and procedures for its privacy and security program in order to comply with the standards, implementation specifications, or any other requirements of the Privacy Rule and applicable provisions of the Security Rule. </w:t>
      </w:r>
      <w:r w:rsidR="00DF5646">
        <w:rPr>
          <w:rFonts w:cs="Arial"/>
          <w:sz w:val="22"/>
          <w:szCs w:val="22"/>
          <w:lang w:val="en-US"/>
        </w:rPr>
        <w:t>These policies and procedures should be made available</w:t>
      </w:r>
      <w:r w:rsidR="00DE5DA6">
        <w:rPr>
          <w:rFonts w:cs="Arial"/>
          <w:sz w:val="22"/>
          <w:szCs w:val="22"/>
          <w:lang w:val="en-US"/>
        </w:rPr>
        <w:t xml:space="preserve"> within a reasonable timeframe</w:t>
      </w:r>
      <w:r w:rsidR="00DF5646">
        <w:rPr>
          <w:rFonts w:cs="Arial"/>
          <w:sz w:val="22"/>
          <w:szCs w:val="22"/>
          <w:lang w:val="en-US"/>
        </w:rPr>
        <w:t xml:space="preserve"> to the CE upon request.</w:t>
      </w:r>
    </w:p>
    <w:p w14:paraId="37158295" w14:textId="4A155752" w:rsidR="00EE0CDC" w:rsidRDefault="005075D0" w:rsidP="002C5D58">
      <w:pPr>
        <w:pStyle w:val="Header"/>
        <w:numPr>
          <w:ilvl w:val="0"/>
          <w:numId w:val="8"/>
        </w:numPr>
        <w:tabs>
          <w:tab w:val="clear" w:pos="4320"/>
          <w:tab w:val="clear" w:pos="8640"/>
        </w:tabs>
        <w:spacing w:after="120"/>
        <w:ind w:left="1350"/>
        <w:jc w:val="both"/>
        <w:rPr>
          <w:rFonts w:cs="Arial"/>
          <w:sz w:val="22"/>
          <w:szCs w:val="22"/>
          <w:lang w:val="en-US"/>
        </w:rPr>
      </w:pPr>
      <w:r w:rsidRPr="002C5D58">
        <w:rPr>
          <w:rFonts w:cs="Arial"/>
          <w:sz w:val="22"/>
          <w:szCs w:val="22"/>
          <w:lang w:val="en-US"/>
        </w:rPr>
        <w:t xml:space="preserve">BA </w:t>
      </w:r>
      <w:r w:rsidR="00937C72">
        <w:rPr>
          <w:rFonts w:cs="Arial"/>
          <w:sz w:val="22"/>
          <w:szCs w:val="22"/>
          <w:lang w:val="en-US"/>
        </w:rPr>
        <w:t>must</w:t>
      </w:r>
      <w:r w:rsidRPr="002C5D58">
        <w:rPr>
          <w:rFonts w:cs="Arial"/>
          <w:sz w:val="22"/>
          <w:szCs w:val="22"/>
          <w:lang w:val="en-US"/>
        </w:rPr>
        <w:t xml:space="preserve"> provide appropriate </w:t>
      </w:r>
      <w:r w:rsidR="00910369" w:rsidRPr="002C5D58">
        <w:rPr>
          <w:rFonts w:cs="Arial"/>
          <w:sz w:val="22"/>
          <w:szCs w:val="22"/>
          <w:lang w:val="en-US"/>
        </w:rPr>
        <w:t>training for</w:t>
      </w:r>
      <w:r w:rsidRPr="002C5D58">
        <w:rPr>
          <w:rFonts w:cs="Arial"/>
          <w:sz w:val="22"/>
          <w:szCs w:val="22"/>
          <w:lang w:val="en-US"/>
        </w:rPr>
        <w:t xml:space="preserve"> its workforce on the requirements of the </w:t>
      </w:r>
      <w:r w:rsidR="005B04B7" w:rsidRPr="002C5D58">
        <w:rPr>
          <w:rFonts w:cs="Arial"/>
          <w:sz w:val="22"/>
          <w:szCs w:val="22"/>
          <w:lang w:val="en-US"/>
        </w:rPr>
        <w:t>Privacy Rule and Security Rule</w:t>
      </w:r>
      <w:r w:rsidRPr="002C5D58">
        <w:rPr>
          <w:rFonts w:cs="Arial"/>
          <w:sz w:val="22"/>
          <w:szCs w:val="22"/>
          <w:lang w:val="en-US"/>
        </w:rPr>
        <w:t xml:space="preserve"> as those regulations affect the proper handling, use confidentiality and disclosure of the </w:t>
      </w:r>
      <w:r w:rsidR="00D23389" w:rsidRPr="002C5D58">
        <w:rPr>
          <w:rFonts w:cs="Arial"/>
          <w:sz w:val="22"/>
          <w:szCs w:val="22"/>
          <w:lang w:val="en-US"/>
        </w:rPr>
        <w:t>CE</w:t>
      </w:r>
      <w:r w:rsidRPr="002C5D58">
        <w:rPr>
          <w:rFonts w:cs="Arial"/>
          <w:sz w:val="22"/>
          <w:szCs w:val="22"/>
          <w:lang w:val="en-US"/>
        </w:rPr>
        <w:t xml:space="preserve">’s </w:t>
      </w:r>
      <w:r w:rsidR="000558D4" w:rsidRPr="002C5D58">
        <w:rPr>
          <w:rFonts w:cs="Arial"/>
          <w:sz w:val="22"/>
          <w:szCs w:val="22"/>
          <w:lang w:val="en-US"/>
        </w:rPr>
        <w:t>PHI</w:t>
      </w:r>
      <w:r w:rsidRPr="002C5D58">
        <w:rPr>
          <w:rFonts w:cs="Arial"/>
          <w:sz w:val="22"/>
          <w:szCs w:val="22"/>
          <w:lang w:val="en-US"/>
        </w:rPr>
        <w:t xml:space="preserve">. </w:t>
      </w:r>
      <w:r w:rsidR="00DF5646" w:rsidRPr="00DF5646">
        <w:rPr>
          <w:rFonts w:cs="Arial"/>
          <w:sz w:val="22"/>
          <w:szCs w:val="22"/>
          <w:lang w:val="en-US"/>
        </w:rPr>
        <w:t xml:space="preserve">These </w:t>
      </w:r>
      <w:r w:rsidR="00DF5646">
        <w:rPr>
          <w:rFonts w:cs="Arial"/>
          <w:sz w:val="22"/>
          <w:szCs w:val="22"/>
          <w:lang w:val="en-US"/>
        </w:rPr>
        <w:t>trainings and/or evidence of completion of such trainings</w:t>
      </w:r>
      <w:r w:rsidR="00DF5646" w:rsidRPr="00DF5646">
        <w:rPr>
          <w:rFonts w:cs="Arial"/>
          <w:sz w:val="22"/>
          <w:szCs w:val="22"/>
          <w:lang w:val="en-US"/>
        </w:rPr>
        <w:t xml:space="preserve"> should be made available to the CE </w:t>
      </w:r>
      <w:r w:rsidR="00DE5DA6">
        <w:rPr>
          <w:rFonts w:cs="Arial"/>
          <w:sz w:val="22"/>
          <w:szCs w:val="22"/>
          <w:lang w:val="en-US"/>
        </w:rPr>
        <w:t xml:space="preserve">within a reasonable timeframe </w:t>
      </w:r>
      <w:r w:rsidR="00DF5646" w:rsidRPr="00DF5646">
        <w:rPr>
          <w:rFonts w:cs="Arial"/>
          <w:sz w:val="22"/>
          <w:szCs w:val="22"/>
          <w:lang w:val="en-US"/>
        </w:rPr>
        <w:t>upon request.</w:t>
      </w:r>
    </w:p>
    <w:p w14:paraId="0249A132" w14:textId="79E7029C" w:rsidR="00AC5B91" w:rsidRDefault="00EE0CDC" w:rsidP="00EE0CDC">
      <w:pPr>
        <w:pStyle w:val="Header"/>
        <w:tabs>
          <w:tab w:val="clear" w:pos="4320"/>
          <w:tab w:val="clear" w:pos="8640"/>
        </w:tabs>
        <w:spacing w:after="120"/>
        <w:ind w:left="1350"/>
        <w:jc w:val="both"/>
        <w:rPr>
          <w:rFonts w:cs="Arial"/>
          <w:sz w:val="22"/>
          <w:szCs w:val="22"/>
          <w:lang w:val="en-US"/>
        </w:rPr>
      </w:pPr>
      <w:r>
        <w:rPr>
          <w:rFonts w:cs="Arial"/>
          <w:sz w:val="22"/>
          <w:szCs w:val="22"/>
          <w:lang w:val="en-US"/>
        </w:rPr>
        <w:t>The t</w:t>
      </w:r>
      <w:r w:rsidR="005075D0" w:rsidRPr="002C5D58">
        <w:rPr>
          <w:rFonts w:cs="Arial"/>
          <w:sz w:val="22"/>
          <w:szCs w:val="22"/>
          <w:lang w:val="en-US"/>
        </w:rPr>
        <w:t xml:space="preserve">raining </w:t>
      </w:r>
      <w:r w:rsidR="00AD5235">
        <w:rPr>
          <w:rFonts w:cs="Arial"/>
          <w:sz w:val="22"/>
          <w:szCs w:val="22"/>
          <w:lang w:val="en-US"/>
        </w:rPr>
        <w:t>must</w:t>
      </w:r>
      <w:r w:rsidR="005075D0" w:rsidRPr="002C5D58">
        <w:rPr>
          <w:rFonts w:cs="Arial"/>
          <w:sz w:val="22"/>
          <w:szCs w:val="22"/>
          <w:lang w:val="en-US"/>
        </w:rPr>
        <w:t xml:space="preserve"> include specific guidance relating to sanctions</w:t>
      </w:r>
      <w:r w:rsidR="0064300C" w:rsidRPr="002C5D58">
        <w:rPr>
          <w:rFonts w:cs="Arial"/>
          <w:sz w:val="22"/>
          <w:szCs w:val="22"/>
          <w:lang w:val="en-US"/>
        </w:rPr>
        <w:t xml:space="preserve"> against workforce members who fail to comply with privacy and security policies and procedures and the obligations of the BA under this </w:t>
      </w:r>
      <w:r w:rsidR="00914431">
        <w:rPr>
          <w:rFonts w:cs="Arial"/>
          <w:sz w:val="22"/>
          <w:szCs w:val="22"/>
          <w:lang w:val="en-US"/>
        </w:rPr>
        <w:t>MOU</w:t>
      </w:r>
      <w:r w:rsidR="0064300C" w:rsidRPr="002C5D58">
        <w:rPr>
          <w:rFonts w:cs="Arial"/>
          <w:sz w:val="22"/>
          <w:szCs w:val="22"/>
          <w:lang w:val="en-US"/>
        </w:rPr>
        <w:t>.</w:t>
      </w:r>
    </w:p>
    <w:p w14:paraId="3A65AA13" w14:textId="6F77668A" w:rsidR="00CE76B3" w:rsidRPr="0005255A" w:rsidRDefault="00CE76B3" w:rsidP="00CE76B3">
      <w:pPr>
        <w:pStyle w:val="Header"/>
        <w:numPr>
          <w:ilvl w:val="1"/>
          <w:numId w:val="2"/>
        </w:numPr>
        <w:tabs>
          <w:tab w:val="clear" w:pos="4320"/>
          <w:tab w:val="clear" w:pos="8640"/>
        </w:tabs>
        <w:spacing w:after="120"/>
        <w:ind w:left="1080"/>
        <w:jc w:val="both"/>
        <w:rPr>
          <w:rFonts w:cs="Arial"/>
          <w:sz w:val="22"/>
          <w:szCs w:val="22"/>
          <w:lang w:val="en-US"/>
        </w:rPr>
      </w:pPr>
      <w:r w:rsidRPr="0005255A">
        <w:rPr>
          <w:rFonts w:cs="Arial"/>
          <w:sz w:val="22"/>
          <w:szCs w:val="22"/>
          <w:u w:val="single"/>
          <w:lang w:val="en-US"/>
        </w:rPr>
        <w:t>Assessments</w:t>
      </w:r>
    </w:p>
    <w:p w14:paraId="52A59DBA" w14:textId="56006275" w:rsidR="00CE76B3" w:rsidRPr="0005255A" w:rsidRDefault="00CE76B3" w:rsidP="00CE76B3">
      <w:pPr>
        <w:pStyle w:val="Header"/>
        <w:tabs>
          <w:tab w:val="clear" w:pos="4320"/>
          <w:tab w:val="clear" w:pos="8640"/>
        </w:tabs>
        <w:spacing w:after="120"/>
        <w:ind w:left="1080"/>
        <w:jc w:val="both"/>
        <w:rPr>
          <w:rFonts w:cs="Arial"/>
          <w:sz w:val="22"/>
          <w:szCs w:val="22"/>
          <w:lang w:val="en-US"/>
        </w:rPr>
      </w:pPr>
      <w:r w:rsidRPr="0005255A">
        <w:rPr>
          <w:rFonts w:cs="Arial"/>
          <w:sz w:val="22"/>
          <w:szCs w:val="22"/>
          <w:lang w:val="en-US"/>
        </w:rPr>
        <w:t xml:space="preserve">BA </w:t>
      </w:r>
      <w:r w:rsidR="00937C72">
        <w:rPr>
          <w:rFonts w:cs="Arial"/>
          <w:sz w:val="22"/>
          <w:szCs w:val="22"/>
          <w:lang w:val="en-US"/>
        </w:rPr>
        <w:t>must</w:t>
      </w:r>
      <w:r w:rsidRPr="0005255A">
        <w:rPr>
          <w:rFonts w:cs="Arial"/>
          <w:sz w:val="22"/>
          <w:szCs w:val="22"/>
          <w:lang w:val="en-US"/>
        </w:rPr>
        <w:t xml:space="preserve"> perform initial and ongoing assessments to review the written policies and procedures for handling secured and confidential materials, and identify any policies or procedures that are either sources of data security weaknesses or barriers to information sharing.  BA </w:t>
      </w:r>
      <w:r w:rsidR="00937C72">
        <w:rPr>
          <w:rFonts w:cs="Arial"/>
          <w:sz w:val="22"/>
          <w:szCs w:val="22"/>
          <w:lang w:val="en-US"/>
        </w:rPr>
        <w:t>must</w:t>
      </w:r>
      <w:r w:rsidRPr="0005255A">
        <w:rPr>
          <w:rFonts w:cs="Arial"/>
          <w:sz w:val="22"/>
          <w:szCs w:val="22"/>
          <w:lang w:val="en-US"/>
        </w:rPr>
        <w:t xml:space="preserve"> review any history of data security breaches or near-breaches, and lessons learned.</w:t>
      </w:r>
    </w:p>
    <w:p w14:paraId="3D834F00" w14:textId="72955F59" w:rsidR="00CE76B3" w:rsidRPr="0005255A" w:rsidRDefault="00CE76B3" w:rsidP="00CE76B3">
      <w:pPr>
        <w:pStyle w:val="Header"/>
        <w:numPr>
          <w:ilvl w:val="1"/>
          <w:numId w:val="2"/>
        </w:numPr>
        <w:tabs>
          <w:tab w:val="clear" w:pos="4320"/>
          <w:tab w:val="clear" w:pos="8640"/>
        </w:tabs>
        <w:spacing w:after="120"/>
        <w:ind w:left="1080"/>
        <w:jc w:val="both"/>
        <w:rPr>
          <w:rFonts w:cs="Arial"/>
          <w:sz w:val="22"/>
          <w:szCs w:val="22"/>
          <w:lang w:val="en-US"/>
        </w:rPr>
      </w:pPr>
      <w:r w:rsidRPr="0005255A">
        <w:rPr>
          <w:rFonts w:cs="Arial"/>
          <w:sz w:val="22"/>
          <w:szCs w:val="22"/>
          <w:u w:val="single"/>
          <w:lang w:val="en-US"/>
        </w:rPr>
        <w:t>Electronic Security Protections Review</w:t>
      </w:r>
    </w:p>
    <w:p w14:paraId="6777CA2C" w14:textId="37B20E82" w:rsidR="00CE76B3" w:rsidRPr="0005255A" w:rsidRDefault="00CE76B3" w:rsidP="00CE76B3">
      <w:pPr>
        <w:pStyle w:val="Header"/>
        <w:tabs>
          <w:tab w:val="clear" w:pos="4320"/>
          <w:tab w:val="clear" w:pos="8640"/>
        </w:tabs>
        <w:spacing w:after="120"/>
        <w:ind w:left="1080"/>
        <w:jc w:val="both"/>
        <w:rPr>
          <w:rFonts w:cs="Arial"/>
          <w:sz w:val="22"/>
          <w:szCs w:val="22"/>
          <w:lang w:val="en-US"/>
        </w:rPr>
      </w:pPr>
      <w:r w:rsidRPr="0005255A">
        <w:rPr>
          <w:rFonts w:cs="Arial"/>
          <w:sz w:val="22"/>
          <w:szCs w:val="22"/>
          <w:lang w:val="en-US"/>
        </w:rPr>
        <w:t xml:space="preserve">BA </w:t>
      </w:r>
      <w:r w:rsidR="00937C72">
        <w:rPr>
          <w:rFonts w:cs="Arial"/>
          <w:sz w:val="22"/>
          <w:szCs w:val="22"/>
          <w:lang w:val="en-US"/>
        </w:rPr>
        <w:t>must</w:t>
      </w:r>
      <w:r w:rsidRPr="0005255A">
        <w:rPr>
          <w:rFonts w:cs="Arial"/>
          <w:sz w:val="22"/>
          <w:szCs w:val="22"/>
          <w:lang w:val="en-US"/>
        </w:rPr>
        <w:t xml:space="preserve"> review electronic security protections and methods of electronic data transfer and storage to ensure they comply with the requirements of this MOU and are sufficient to protect shared PHI.</w:t>
      </w:r>
    </w:p>
    <w:p w14:paraId="0F6F0FC5" w14:textId="167DA279" w:rsidR="00CE76B3" w:rsidRPr="0005255A" w:rsidRDefault="00CE76B3" w:rsidP="00CE76B3">
      <w:pPr>
        <w:pStyle w:val="Header"/>
        <w:numPr>
          <w:ilvl w:val="1"/>
          <w:numId w:val="2"/>
        </w:numPr>
        <w:tabs>
          <w:tab w:val="clear" w:pos="4320"/>
          <w:tab w:val="clear" w:pos="8640"/>
        </w:tabs>
        <w:spacing w:after="120"/>
        <w:ind w:left="1080"/>
        <w:jc w:val="both"/>
        <w:rPr>
          <w:rFonts w:cs="Arial"/>
          <w:sz w:val="22"/>
          <w:szCs w:val="22"/>
          <w:lang w:val="en-US"/>
        </w:rPr>
      </w:pPr>
      <w:r w:rsidRPr="0005255A">
        <w:rPr>
          <w:rFonts w:cs="Arial"/>
          <w:sz w:val="22"/>
          <w:szCs w:val="22"/>
          <w:u w:val="single"/>
          <w:lang w:val="en-US"/>
        </w:rPr>
        <w:t>County Policy</w:t>
      </w:r>
    </w:p>
    <w:p w14:paraId="6CCEC0BD" w14:textId="0BF1A976" w:rsidR="00CE76B3" w:rsidRPr="002C5D58" w:rsidRDefault="00CE76B3" w:rsidP="00CE76B3">
      <w:pPr>
        <w:pStyle w:val="Header"/>
        <w:tabs>
          <w:tab w:val="clear" w:pos="4320"/>
          <w:tab w:val="clear" w:pos="8640"/>
        </w:tabs>
        <w:spacing w:after="120"/>
        <w:ind w:left="1080"/>
        <w:jc w:val="both"/>
        <w:rPr>
          <w:rFonts w:cs="Arial"/>
          <w:sz w:val="22"/>
          <w:szCs w:val="22"/>
          <w:lang w:val="en-US"/>
        </w:rPr>
      </w:pPr>
      <w:r w:rsidRPr="0005255A">
        <w:rPr>
          <w:rFonts w:cs="Arial"/>
          <w:sz w:val="22"/>
          <w:szCs w:val="22"/>
          <w:lang w:val="en-US"/>
        </w:rPr>
        <w:t xml:space="preserve">BA </w:t>
      </w:r>
      <w:r w:rsidR="00937C72">
        <w:rPr>
          <w:rFonts w:cs="Arial"/>
          <w:sz w:val="22"/>
          <w:szCs w:val="22"/>
          <w:lang w:val="en-US"/>
        </w:rPr>
        <w:t>must</w:t>
      </w:r>
      <w:r w:rsidRPr="0005255A">
        <w:rPr>
          <w:rFonts w:cs="Arial"/>
          <w:sz w:val="22"/>
          <w:szCs w:val="22"/>
          <w:lang w:val="en-US"/>
        </w:rPr>
        <w:t xml:space="preserve"> adhere to the County Policy Manual, including but not limited to Chapter 14, as well as other </w:t>
      </w:r>
      <w:r w:rsidR="001417E7" w:rsidRPr="0005255A">
        <w:rPr>
          <w:rFonts w:cs="Arial"/>
          <w:sz w:val="22"/>
          <w:szCs w:val="22"/>
          <w:lang w:val="en-US"/>
        </w:rPr>
        <w:t>CE-</w:t>
      </w:r>
      <w:r w:rsidR="00877CA3" w:rsidRPr="0005255A">
        <w:rPr>
          <w:rFonts w:cs="Arial"/>
          <w:sz w:val="22"/>
          <w:szCs w:val="22"/>
          <w:lang w:val="en-US"/>
        </w:rPr>
        <w:t>specific</w:t>
      </w:r>
      <w:r w:rsidRPr="0005255A">
        <w:rPr>
          <w:rFonts w:cs="Arial"/>
          <w:sz w:val="22"/>
          <w:szCs w:val="22"/>
          <w:lang w:val="en-US"/>
        </w:rPr>
        <w:t xml:space="preserve"> policies and procedures.</w:t>
      </w:r>
    </w:p>
    <w:p w14:paraId="24F398B2" w14:textId="08C97915" w:rsidR="00910369" w:rsidRPr="002C5D58" w:rsidRDefault="00910369" w:rsidP="002C5D58">
      <w:pPr>
        <w:numPr>
          <w:ilvl w:val="1"/>
          <w:numId w:val="2"/>
        </w:numPr>
        <w:suppressAutoHyphens/>
        <w:spacing w:after="120"/>
        <w:ind w:left="1080"/>
        <w:jc w:val="both"/>
        <w:rPr>
          <w:rFonts w:cs="Arial"/>
          <w:szCs w:val="22"/>
        </w:rPr>
      </w:pPr>
      <w:r w:rsidRPr="002C5D58">
        <w:rPr>
          <w:rFonts w:cs="Arial"/>
          <w:szCs w:val="22"/>
          <w:u w:val="single"/>
        </w:rPr>
        <w:t>Subcontractors</w:t>
      </w:r>
    </w:p>
    <w:p w14:paraId="3035BB5B" w14:textId="23805FF6" w:rsidR="00AC5B91" w:rsidRDefault="00910369" w:rsidP="002C5D58">
      <w:pPr>
        <w:suppressAutoHyphens/>
        <w:spacing w:after="120"/>
        <w:ind w:left="1080"/>
        <w:jc w:val="both"/>
        <w:rPr>
          <w:rFonts w:cs="Arial"/>
          <w:szCs w:val="22"/>
        </w:rPr>
      </w:pPr>
      <w:r w:rsidRPr="002C5D58">
        <w:rPr>
          <w:rFonts w:cs="Arial"/>
          <w:szCs w:val="22"/>
        </w:rPr>
        <w:t xml:space="preserve">BA </w:t>
      </w:r>
      <w:r w:rsidR="00937C72">
        <w:rPr>
          <w:rFonts w:cs="Arial"/>
          <w:szCs w:val="22"/>
        </w:rPr>
        <w:t>must</w:t>
      </w:r>
      <w:r w:rsidRPr="002C5D58">
        <w:rPr>
          <w:rFonts w:cs="Arial"/>
          <w:szCs w:val="22"/>
        </w:rPr>
        <w:t xml:space="preserve"> e</w:t>
      </w:r>
      <w:r w:rsidR="00AC5B91" w:rsidRPr="002C5D58">
        <w:rPr>
          <w:rFonts w:cs="Arial"/>
          <w:szCs w:val="22"/>
        </w:rPr>
        <w:t xml:space="preserve">nter into written agreements with agents and subcontractors to whom BA provides </w:t>
      </w:r>
      <w:r w:rsidR="00D23389" w:rsidRPr="002C5D58">
        <w:rPr>
          <w:rFonts w:cs="Arial"/>
          <w:szCs w:val="22"/>
        </w:rPr>
        <w:t>CE</w:t>
      </w:r>
      <w:r w:rsidR="00AC5B91" w:rsidRPr="002C5D58">
        <w:rPr>
          <w:rFonts w:cs="Arial"/>
          <w:szCs w:val="22"/>
        </w:rPr>
        <w:t xml:space="preserve">’s PHI that impose the same restrictions and conditions on such agents and subcontractors that apply to BA with respect to such PHI, and that require compliance with all appropriate safeguards as found in this </w:t>
      </w:r>
      <w:r w:rsidR="00C72F96">
        <w:rPr>
          <w:rFonts w:cs="Arial"/>
          <w:szCs w:val="22"/>
        </w:rPr>
        <w:t>MOU</w:t>
      </w:r>
      <w:r w:rsidR="00AC5B91" w:rsidRPr="002C5D58">
        <w:rPr>
          <w:rFonts w:cs="Arial"/>
          <w:szCs w:val="22"/>
        </w:rPr>
        <w:t>.</w:t>
      </w:r>
    </w:p>
    <w:p w14:paraId="49DC939A" w14:textId="77777777" w:rsidR="00AC5B91" w:rsidRPr="002C5D58" w:rsidRDefault="00AC5B91" w:rsidP="002C5D58">
      <w:pPr>
        <w:pStyle w:val="Header"/>
        <w:numPr>
          <w:ilvl w:val="1"/>
          <w:numId w:val="2"/>
        </w:numPr>
        <w:tabs>
          <w:tab w:val="clear" w:pos="4320"/>
          <w:tab w:val="clear" w:pos="8640"/>
        </w:tabs>
        <w:spacing w:after="120"/>
        <w:ind w:left="1080"/>
        <w:jc w:val="both"/>
        <w:rPr>
          <w:rFonts w:cs="Arial"/>
          <w:sz w:val="22"/>
          <w:szCs w:val="22"/>
          <w:u w:val="single"/>
        </w:rPr>
      </w:pPr>
      <w:r w:rsidRPr="002C5D58">
        <w:rPr>
          <w:rFonts w:cs="Arial"/>
          <w:sz w:val="22"/>
          <w:szCs w:val="22"/>
          <w:u w:val="single"/>
        </w:rPr>
        <w:lastRenderedPageBreak/>
        <w:t>Reporting of Improper Access, Use or Disclosure or Bre</w:t>
      </w:r>
      <w:r w:rsidRPr="002C5D58">
        <w:rPr>
          <w:rFonts w:cs="Arial"/>
          <w:sz w:val="22"/>
          <w:szCs w:val="22"/>
          <w:u w:val="single"/>
          <w:lang w:val="en-US"/>
        </w:rPr>
        <w:t>ach</w:t>
      </w:r>
    </w:p>
    <w:p w14:paraId="2E1767AB" w14:textId="63EB588C" w:rsidR="00AC5B91" w:rsidRPr="002C5D58" w:rsidRDefault="00857ED1" w:rsidP="002C5D58">
      <w:pPr>
        <w:pStyle w:val="Header"/>
        <w:tabs>
          <w:tab w:val="clear" w:pos="4320"/>
          <w:tab w:val="clear" w:pos="8640"/>
        </w:tabs>
        <w:spacing w:after="120"/>
        <w:ind w:left="1080"/>
        <w:jc w:val="both"/>
        <w:rPr>
          <w:rFonts w:cs="Arial"/>
          <w:sz w:val="22"/>
          <w:szCs w:val="22"/>
        </w:rPr>
      </w:pPr>
      <w:r w:rsidRPr="002C5D58">
        <w:rPr>
          <w:rFonts w:cs="Arial"/>
          <w:sz w:val="22"/>
          <w:szCs w:val="22"/>
          <w:lang w:val="en-US"/>
        </w:rPr>
        <w:t xml:space="preserve">Every suspected and actual Breach </w:t>
      </w:r>
      <w:r w:rsidR="00937C72">
        <w:rPr>
          <w:rFonts w:cs="Arial"/>
          <w:sz w:val="22"/>
          <w:szCs w:val="22"/>
          <w:lang w:val="en-US"/>
        </w:rPr>
        <w:t>must</w:t>
      </w:r>
      <w:r w:rsidR="00D23679" w:rsidRPr="002C5D58">
        <w:rPr>
          <w:rFonts w:cs="Arial"/>
          <w:sz w:val="22"/>
          <w:szCs w:val="22"/>
          <w:lang w:val="en-US"/>
        </w:rPr>
        <w:t xml:space="preserve"> be reported immediately</w:t>
      </w:r>
      <w:r w:rsidR="009862F7" w:rsidRPr="002C5D58">
        <w:rPr>
          <w:rFonts w:cs="Arial"/>
          <w:sz w:val="22"/>
          <w:szCs w:val="22"/>
          <w:lang w:val="en-US"/>
        </w:rPr>
        <w:t>,</w:t>
      </w:r>
      <w:r w:rsidR="00D23679" w:rsidRPr="002C5D58">
        <w:rPr>
          <w:rFonts w:cs="Arial"/>
          <w:sz w:val="22"/>
          <w:szCs w:val="22"/>
          <w:lang w:val="en-US"/>
        </w:rPr>
        <w:t xml:space="preserve"> but</w:t>
      </w:r>
      <w:r w:rsidR="00AC5B91" w:rsidRPr="002C5D58">
        <w:rPr>
          <w:rFonts w:cs="Arial"/>
          <w:sz w:val="22"/>
          <w:szCs w:val="22"/>
        </w:rPr>
        <w:t xml:space="preserve"> no later than one (1) business day upon discovery</w:t>
      </w:r>
      <w:r w:rsidRPr="002C5D58">
        <w:rPr>
          <w:rFonts w:cs="Arial"/>
          <w:sz w:val="22"/>
          <w:szCs w:val="22"/>
          <w:lang w:val="en-US"/>
        </w:rPr>
        <w:t>,</w:t>
      </w:r>
      <w:r w:rsidR="00AC5B91" w:rsidRPr="002C5D58">
        <w:rPr>
          <w:rFonts w:cs="Arial"/>
          <w:sz w:val="22"/>
          <w:szCs w:val="22"/>
        </w:rPr>
        <w:t xml:space="preserve"> </w:t>
      </w:r>
      <w:r w:rsidR="009862F7" w:rsidRPr="002C5D58">
        <w:rPr>
          <w:rFonts w:cs="Arial"/>
          <w:sz w:val="22"/>
          <w:szCs w:val="22"/>
          <w:lang w:val="en-US"/>
        </w:rPr>
        <w:t xml:space="preserve">to </w:t>
      </w:r>
      <w:r w:rsidR="00B81BC0" w:rsidRPr="002C5D58">
        <w:rPr>
          <w:rFonts w:cs="Arial"/>
          <w:sz w:val="22"/>
          <w:szCs w:val="22"/>
          <w:lang w:val="en-US"/>
        </w:rPr>
        <w:t>CE</w:t>
      </w:r>
      <w:r w:rsidR="009862F7" w:rsidRPr="002C5D58">
        <w:rPr>
          <w:rFonts w:cs="Arial"/>
          <w:sz w:val="22"/>
          <w:szCs w:val="22"/>
          <w:lang w:val="en-US"/>
        </w:rPr>
        <w:t>’s Office of Compliance</w:t>
      </w:r>
      <w:r w:rsidR="00DD53DE">
        <w:rPr>
          <w:rFonts w:cs="Arial"/>
          <w:sz w:val="22"/>
          <w:szCs w:val="22"/>
          <w:lang w:val="en-US"/>
        </w:rPr>
        <w:t xml:space="preserve"> and I</w:t>
      </w:r>
      <w:r w:rsidR="00C72F96">
        <w:rPr>
          <w:rFonts w:cs="Arial"/>
          <w:sz w:val="22"/>
          <w:szCs w:val="22"/>
          <w:lang w:val="en-US"/>
        </w:rPr>
        <w:t>T</w:t>
      </w:r>
      <w:r w:rsidR="00DD53DE">
        <w:rPr>
          <w:rFonts w:cs="Arial"/>
          <w:sz w:val="22"/>
          <w:szCs w:val="22"/>
          <w:lang w:val="en-US"/>
        </w:rPr>
        <w:t>D’s CISO</w:t>
      </w:r>
      <w:r w:rsidR="009862F7" w:rsidRPr="002C5D58">
        <w:rPr>
          <w:rFonts w:cs="Arial"/>
          <w:sz w:val="22"/>
          <w:szCs w:val="22"/>
          <w:lang w:val="en-US"/>
        </w:rPr>
        <w:t xml:space="preserve">, </w:t>
      </w:r>
      <w:r w:rsidR="00AC5B91" w:rsidRPr="002C5D58">
        <w:rPr>
          <w:rFonts w:cs="Arial"/>
          <w:sz w:val="22"/>
          <w:szCs w:val="22"/>
        </w:rPr>
        <w:t>consistent with the regulations under HITECH</w:t>
      </w:r>
      <w:r w:rsidR="000558D4" w:rsidRPr="002C5D58">
        <w:rPr>
          <w:rFonts w:cs="Arial"/>
          <w:sz w:val="22"/>
          <w:szCs w:val="22"/>
          <w:lang w:val="en-US"/>
        </w:rPr>
        <w:t xml:space="preserve"> Act</w:t>
      </w:r>
      <w:r w:rsidR="00AC5B91" w:rsidRPr="002C5D58">
        <w:rPr>
          <w:rFonts w:cs="Arial"/>
          <w:sz w:val="22"/>
          <w:szCs w:val="22"/>
        </w:rPr>
        <w:t xml:space="preserve">.   </w:t>
      </w:r>
      <w:r w:rsidR="0050094A">
        <w:rPr>
          <w:rFonts w:cs="Arial"/>
          <w:sz w:val="22"/>
          <w:szCs w:val="22"/>
          <w:lang w:val="en-US"/>
        </w:rPr>
        <w:t xml:space="preserve">Upon notification from BA, CE will coordinate notification of the actual or suspected Breach to the County HIPAA Privacy Officer.  </w:t>
      </w:r>
      <w:r w:rsidR="00AC5B91" w:rsidRPr="002C5D58">
        <w:rPr>
          <w:rFonts w:cs="Arial"/>
          <w:sz w:val="22"/>
          <w:szCs w:val="22"/>
        </w:rPr>
        <w:t xml:space="preserve">Upon discovery of a Breach or suspected Breach, </w:t>
      </w:r>
      <w:r w:rsidR="00B81BC0" w:rsidRPr="002C5D58">
        <w:rPr>
          <w:rFonts w:cs="Arial"/>
          <w:sz w:val="22"/>
          <w:szCs w:val="22"/>
          <w:lang w:val="en-US"/>
        </w:rPr>
        <w:t>BA</w:t>
      </w:r>
      <w:r w:rsidR="00AC5B91" w:rsidRPr="002C5D58">
        <w:rPr>
          <w:rFonts w:cs="Arial"/>
          <w:sz w:val="22"/>
          <w:szCs w:val="22"/>
        </w:rPr>
        <w:t xml:space="preserve"> </w:t>
      </w:r>
      <w:r w:rsidR="00937C72">
        <w:rPr>
          <w:rFonts w:cs="Arial"/>
          <w:sz w:val="22"/>
          <w:szCs w:val="22"/>
        </w:rPr>
        <w:t>must</w:t>
      </w:r>
      <w:r w:rsidR="00AC5B91" w:rsidRPr="002C5D58">
        <w:rPr>
          <w:rFonts w:cs="Arial"/>
          <w:sz w:val="22"/>
          <w:szCs w:val="22"/>
        </w:rPr>
        <w:t xml:space="preserve"> complete the following actions</w:t>
      </w:r>
      <w:r w:rsidR="00AC5B91" w:rsidRPr="002C5D58">
        <w:rPr>
          <w:rFonts w:cs="Arial"/>
          <w:sz w:val="22"/>
          <w:szCs w:val="22"/>
          <w:lang w:val="en-US"/>
        </w:rPr>
        <w:t>:</w:t>
      </w:r>
    </w:p>
    <w:p w14:paraId="52F0D41A" w14:textId="49C598A3" w:rsidR="00AC5B91" w:rsidRPr="002C5D58" w:rsidRDefault="00AC5B91"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Provide </w:t>
      </w:r>
      <w:r w:rsidR="00B81BC0" w:rsidRPr="002C5D58">
        <w:rPr>
          <w:rFonts w:cs="Arial"/>
          <w:sz w:val="22"/>
          <w:szCs w:val="22"/>
          <w:lang w:val="en-US"/>
        </w:rPr>
        <w:t>CE</w:t>
      </w:r>
      <w:r w:rsidRPr="002C5D58">
        <w:rPr>
          <w:rFonts w:cs="Arial"/>
          <w:sz w:val="22"/>
          <w:szCs w:val="22"/>
        </w:rPr>
        <w:t xml:space="preserve">’s Office of Compliance </w:t>
      </w:r>
      <w:r w:rsidR="00DD53DE">
        <w:rPr>
          <w:rFonts w:cs="Arial"/>
          <w:sz w:val="22"/>
          <w:szCs w:val="22"/>
          <w:lang w:val="en-US"/>
        </w:rPr>
        <w:t>and I</w:t>
      </w:r>
      <w:r w:rsidR="00C8797F">
        <w:rPr>
          <w:rFonts w:cs="Arial"/>
          <w:sz w:val="22"/>
          <w:szCs w:val="22"/>
          <w:lang w:val="en-US"/>
        </w:rPr>
        <w:t>TD</w:t>
      </w:r>
      <w:r w:rsidR="00DD53DE">
        <w:rPr>
          <w:rFonts w:cs="Arial"/>
          <w:sz w:val="22"/>
          <w:szCs w:val="22"/>
          <w:lang w:val="en-US"/>
        </w:rPr>
        <w:t xml:space="preserve">’s CISO </w:t>
      </w:r>
      <w:r w:rsidRPr="002C5D58">
        <w:rPr>
          <w:rFonts w:cs="Arial"/>
          <w:sz w:val="22"/>
          <w:szCs w:val="22"/>
        </w:rPr>
        <w:t>with the following information to include but not limited to</w:t>
      </w:r>
      <w:r w:rsidRPr="002C5D58">
        <w:rPr>
          <w:rFonts w:cs="Arial"/>
          <w:sz w:val="22"/>
          <w:szCs w:val="22"/>
          <w:lang w:val="en-US"/>
        </w:rPr>
        <w:t>:</w:t>
      </w:r>
    </w:p>
    <w:p w14:paraId="7C05C022"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Date the Breach or suspected Breach occurred</w:t>
      </w:r>
      <w:r w:rsidRPr="002C5D58">
        <w:rPr>
          <w:rFonts w:cs="Arial"/>
          <w:sz w:val="22"/>
          <w:szCs w:val="22"/>
          <w:lang w:val="en-US"/>
        </w:rPr>
        <w:t>;</w:t>
      </w:r>
    </w:p>
    <w:p w14:paraId="03A8DEA1"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Date the Breach or suspected Breach was discovered</w:t>
      </w:r>
      <w:r w:rsidRPr="002C5D58">
        <w:rPr>
          <w:rFonts w:cs="Arial"/>
          <w:sz w:val="22"/>
          <w:szCs w:val="22"/>
          <w:lang w:val="en-US"/>
        </w:rPr>
        <w:t>;</w:t>
      </w:r>
    </w:p>
    <w:p w14:paraId="007166C9"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Number of staff, employees, subcontractors, agents or other third parties and the</w:t>
      </w:r>
      <w:r w:rsidR="00D23679" w:rsidRPr="002C5D58">
        <w:rPr>
          <w:rFonts w:cs="Arial"/>
          <w:sz w:val="22"/>
          <w:szCs w:val="22"/>
          <w:lang w:val="en-US"/>
        </w:rPr>
        <w:t xml:space="preserve"> names and</w:t>
      </w:r>
      <w:r w:rsidRPr="002C5D58">
        <w:rPr>
          <w:rFonts w:cs="Arial"/>
          <w:sz w:val="22"/>
          <w:szCs w:val="22"/>
        </w:rPr>
        <w:t xml:space="preserve"> titles of each person allegedly involved</w:t>
      </w:r>
      <w:r w:rsidRPr="002C5D58">
        <w:rPr>
          <w:rFonts w:cs="Arial"/>
          <w:sz w:val="22"/>
          <w:szCs w:val="22"/>
          <w:lang w:val="en-US"/>
        </w:rPr>
        <w:t>;</w:t>
      </w:r>
    </w:p>
    <w:p w14:paraId="1980EB83" w14:textId="599E5CA4"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 xml:space="preserve">Number of potentially affected </w:t>
      </w:r>
      <w:r w:rsidR="00B81BC0" w:rsidRPr="002C5D58">
        <w:rPr>
          <w:rFonts w:cs="Arial"/>
          <w:sz w:val="22"/>
          <w:szCs w:val="22"/>
          <w:lang w:val="en-US"/>
        </w:rPr>
        <w:t>Individual(s)</w:t>
      </w:r>
      <w:r w:rsidR="00D23679" w:rsidRPr="002C5D58">
        <w:rPr>
          <w:rFonts w:cs="Arial"/>
          <w:sz w:val="22"/>
          <w:szCs w:val="22"/>
          <w:lang w:val="en-US"/>
        </w:rPr>
        <w:t xml:space="preserve"> with contact information</w:t>
      </w:r>
      <w:r w:rsidRPr="002C5D58">
        <w:rPr>
          <w:rFonts w:cs="Arial"/>
          <w:sz w:val="22"/>
          <w:szCs w:val="22"/>
        </w:rPr>
        <w:t>; a</w:t>
      </w:r>
      <w:r w:rsidRPr="002C5D58">
        <w:rPr>
          <w:rFonts w:cs="Arial"/>
          <w:sz w:val="22"/>
          <w:szCs w:val="22"/>
          <w:lang w:val="en-US"/>
        </w:rPr>
        <w:t>nd</w:t>
      </w:r>
    </w:p>
    <w:p w14:paraId="01D7C6CE"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Description of how the Breach or suspected Breach allegedly occurred</w:t>
      </w:r>
      <w:r w:rsidRPr="002C5D58">
        <w:rPr>
          <w:rFonts w:cs="Arial"/>
          <w:sz w:val="22"/>
          <w:szCs w:val="22"/>
          <w:lang w:val="en-US"/>
        </w:rPr>
        <w:t>.</w:t>
      </w:r>
    </w:p>
    <w:p w14:paraId="4DF26D04" w14:textId="22CFB3F1" w:rsidR="00AC5B91" w:rsidRPr="002C5D58" w:rsidRDefault="00AC5B91"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Conduct and document a risk assessment by investigating without </w:t>
      </w:r>
      <w:r w:rsidR="003C16DF">
        <w:rPr>
          <w:rFonts w:cs="Arial"/>
          <w:sz w:val="22"/>
          <w:szCs w:val="22"/>
          <w:lang w:val="en-US"/>
        </w:rPr>
        <w:t>un</w:t>
      </w:r>
      <w:r w:rsidRPr="002C5D58">
        <w:rPr>
          <w:rFonts w:cs="Arial"/>
          <w:sz w:val="22"/>
          <w:szCs w:val="22"/>
        </w:rPr>
        <w:t>reasonable delay and in no case later than five (5) calendar days of discovery of the Breach or suspected Breach to determine the following</w:t>
      </w:r>
      <w:r w:rsidRPr="002C5D58">
        <w:rPr>
          <w:rFonts w:cs="Arial"/>
          <w:sz w:val="22"/>
          <w:szCs w:val="22"/>
          <w:lang w:val="en-US"/>
        </w:rPr>
        <w:t>:</w:t>
      </w:r>
    </w:p>
    <w:p w14:paraId="684D2009"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The nature and extent of the PHI involved, including the types of identifiers and likelihood of re-identification</w:t>
      </w:r>
      <w:r w:rsidRPr="002C5D58">
        <w:rPr>
          <w:rFonts w:cs="Arial"/>
          <w:sz w:val="22"/>
          <w:szCs w:val="22"/>
          <w:lang w:val="en-US"/>
        </w:rPr>
        <w:t>;</w:t>
      </w:r>
    </w:p>
    <w:p w14:paraId="71D2EFCE" w14:textId="7375D4E6"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 xml:space="preserve">The unauthorized person who </w:t>
      </w:r>
      <w:r w:rsidR="00D23679" w:rsidRPr="002C5D58">
        <w:rPr>
          <w:rFonts w:cs="Arial"/>
          <w:sz w:val="22"/>
          <w:szCs w:val="22"/>
          <w:lang w:val="en-US"/>
        </w:rPr>
        <w:t>had access to the</w:t>
      </w:r>
      <w:r w:rsidRPr="002C5D58">
        <w:rPr>
          <w:rFonts w:cs="Arial"/>
          <w:sz w:val="22"/>
          <w:szCs w:val="22"/>
        </w:rPr>
        <w:t xml:space="preserve"> PHI</w:t>
      </w:r>
      <w:r w:rsidRPr="002C5D58">
        <w:rPr>
          <w:rFonts w:cs="Arial"/>
          <w:sz w:val="22"/>
          <w:szCs w:val="22"/>
          <w:lang w:val="en-US"/>
        </w:rPr>
        <w:t>;</w:t>
      </w:r>
    </w:p>
    <w:p w14:paraId="44469950"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Whether the PHI was actually acquired or viewed; and</w:t>
      </w:r>
    </w:p>
    <w:p w14:paraId="6374660E" w14:textId="77777777" w:rsidR="00AC5B91" w:rsidRPr="002C5D58" w:rsidRDefault="00AC5B91" w:rsidP="002C5D58">
      <w:pPr>
        <w:pStyle w:val="Header"/>
        <w:numPr>
          <w:ilvl w:val="3"/>
          <w:numId w:val="2"/>
        </w:numPr>
        <w:tabs>
          <w:tab w:val="clear" w:pos="4320"/>
          <w:tab w:val="clear" w:pos="8640"/>
        </w:tabs>
        <w:spacing w:after="120"/>
        <w:ind w:left="1710"/>
        <w:jc w:val="both"/>
        <w:rPr>
          <w:rFonts w:cs="Arial"/>
          <w:sz w:val="22"/>
          <w:szCs w:val="22"/>
        </w:rPr>
      </w:pPr>
      <w:r w:rsidRPr="002C5D58">
        <w:rPr>
          <w:rFonts w:cs="Arial"/>
          <w:sz w:val="22"/>
          <w:szCs w:val="22"/>
        </w:rPr>
        <w:t>The extent to which the risk to PHI has been mitigated</w:t>
      </w:r>
      <w:r w:rsidRPr="002C5D58">
        <w:rPr>
          <w:rFonts w:cs="Arial"/>
          <w:sz w:val="22"/>
          <w:szCs w:val="22"/>
          <w:lang w:val="en-US"/>
        </w:rPr>
        <w:t>.</w:t>
      </w:r>
    </w:p>
    <w:p w14:paraId="037C18AE" w14:textId="33A5C319" w:rsidR="00AC5B91" w:rsidRPr="002C5D58" w:rsidRDefault="00AC5B91"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Provide a completed risk assessment and investigation documentation to </w:t>
      </w:r>
      <w:r w:rsidR="00B81BC0" w:rsidRPr="002C5D58">
        <w:rPr>
          <w:rFonts w:cs="Arial"/>
          <w:sz w:val="22"/>
          <w:szCs w:val="22"/>
          <w:lang w:val="en-US"/>
        </w:rPr>
        <w:t>CE</w:t>
      </w:r>
      <w:r w:rsidRPr="002C5D58">
        <w:rPr>
          <w:rFonts w:cs="Arial"/>
          <w:sz w:val="22"/>
          <w:szCs w:val="22"/>
        </w:rPr>
        <w:t xml:space="preserve">’s Office of Compliance </w:t>
      </w:r>
      <w:r w:rsidR="0005255A">
        <w:rPr>
          <w:rFonts w:cs="Arial"/>
          <w:sz w:val="22"/>
          <w:szCs w:val="22"/>
          <w:lang w:val="en-US"/>
        </w:rPr>
        <w:t>and I</w:t>
      </w:r>
      <w:r w:rsidR="00C8797F">
        <w:rPr>
          <w:rFonts w:cs="Arial"/>
          <w:sz w:val="22"/>
          <w:szCs w:val="22"/>
          <w:lang w:val="en-US"/>
        </w:rPr>
        <w:t>T</w:t>
      </w:r>
      <w:r w:rsidR="0005255A">
        <w:rPr>
          <w:rFonts w:cs="Arial"/>
          <w:sz w:val="22"/>
          <w:szCs w:val="22"/>
          <w:lang w:val="en-US"/>
        </w:rPr>
        <w:t xml:space="preserve">D’s </w:t>
      </w:r>
      <w:r w:rsidR="00C8797F">
        <w:rPr>
          <w:rFonts w:cs="Arial"/>
          <w:sz w:val="22"/>
          <w:szCs w:val="22"/>
          <w:lang w:val="en-US"/>
        </w:rPr>
        <w:t xml:space="preserve">CISO </w:t>
      </w:r>
      <w:r w:rsidRPr="002C5D58">
        <w:rPr>
          <w:rFonts w:cs="Arial"/>
          <w:sz w:val="22"/>
          <w:szCs w:val="22"/>
        </w:rPr>
        <w:t xml:space="preserve">within ten (10) calendar days of discovery of the Breach or suspected Breach with </w:t>
      </w:r>
      <w:r w:rsidR="009862F7" w:rsidRPr="002C5D58">
        <w:rPr>
          <w:rFonts w:cs="Arial"/>
          <w:sz w:val="22"/>
          <w:szCs w:val="22"/>
          <w:lang w:val="en-US"/>
        </w:rPr>
        <w:t xml:space="preserve">a </w:t>
      </w:r>
      <w:r w:rsidR="00CF663E" w:rsidRPr="002C5D58">
        <w:rPr>
          <w:rFonts w:cs="Arial"/>
          <w:sz w:val="22"/>
          <w:szCs w:val="22"/>
          <w:lang w:val="en-US"/>
        </w:rPr>
        <w:t>determination</w:t>
      </w:r>
      <w:r w:rsidR="00CF663E" w:rsidRPr="002C5D58">
        <w:rPr>
          <w:rFonts w:cs="Arial"/>
          <w:sz w:val="22"/>
          <w:szCs w:val="22"/>
        </w:rPr>
        <w:t xml:space="preserve"> </w:t>
      </w:r>
      <w:r w:rsidR="009862F7" w:rsidRPr="002C5D58">
        <w:rPr>
          <w:rFonts w:cs="Arial"/>
          <w:sz w:val="22"/>
          <w:szCs w:val="22"/>
          <w:lang w:val="en-US"/>
        </w:rPr>
        <w:t xml:space="preserve">as to </w:t>
      </w:r>
      <w:r w:rsidRPr="002C5D58">
        <w:rPr>
          <w:rFonts w:cs="Arial"/>
          <w:sz w:val="22"/>
          <w:szCs w:val="22"/>
        </w:rPr>
        <w:t>whether a Breach has occurred</w:t>
      </w:r>
      <w:r w:rsidRPr="002C5D58">
        <w:rPr>
          <w:rFonts w:cs="Arial"/>
          <w:sz w:val="22"/>
          <w:szCs w:val="22"/>
          <w:lang w:val="en-US"/>
        </w:rPr>
        <w:t>.</w:t>
      </w:r>
      <w:r w:rsidR="00CF663E" w:rsidRPr="002C5D58">
        <w:rPr>
          <w:rFonts w:cs="Arial"/>
          <w:sz w:val="22"/>
          <w:szCs w:val="22"/>
          <w:lang w:val="en-US"/>
        </w:rPr>
        <w:t xml:space="preserve">  At the discretion of </w:t>
      </w:r>
      <w:r w:rsidR="00D23389" w:rsidRPr="002C5D58">
        <w:rPr>
          <w:rFonts w:cs="Arial"/>
          <w:sz w:val="22"/>
          <w:szCs w:val="22"/>
          <w:lang w:val="en-US"/>
        </w:rPr>
        <w:t>CE</w:t>
      </w:r>
      <w:r w:rsidR="00CF663E" w:rsidRPr="002C5D58">
        <w:rPr>
          <w:rFonts w:cs="Arial"/>
          <w:sz w:val="22"/>
          <w:szCs w:val="22"/>
          <w:lang w:val="en-US"/>
        </w:rPr>
        <w:t>, additional information may be requested.</w:t>
      </w:r>
    </w:p>
    <w:p w14:paraId="4ACB8CC6" w14:textId="5CBC05B6" w:rsidR="00AC5B91" w:rsidRPr="002C5D58" w:rsidRDefault="00AC5B91" w:rsidP="002C5D58">
      <w:pPr>
        <w:pStyle w:val="Header"/>
        <w:numPr>
          <w:ilvl w:val="3"/>
          <w:numId w:val="2"/>
        </w:numPr>
        <w:tabs>
          <w:tab w:val="clear" w:pos="4320"/>
          <w:tab w:val="clear" w:pos="8640"/>
        </w:tabs>
        <w:spacing w:after="120"/>
        <w:ind w:left="1800"/>
        <w:jc w:val="both"/>
        <w:rPr>
          <w:rFonts w:cs="Arial"/>
          <w:sz w:val="22"/>
          <w:szCs w:val="22"/>
        </w:rPr>
      </w:pPr>
      <w:r w:rsidRPr="002C5D58">
        <w:rPr>
          <w:rFonts w:cs="Arial"/>
          <w:sz w:val="22"/>
          <w:szCs w:val="22"/>
        </w:rPr>
        <w:t xml:space="preserve">If </w:t>
      </w:r>
      <w:r w:rsidR="00CF663E" w:rsidRPr="002C5D58">
        <w:rPr>
          <w:rFonts w:cs="Arial"/>
          <w:sz w:val="22"/>
          <w:szCs w:val="22"/>
          <w:lang w:val="en-US"/>
        </w:rPr>
        <w:t xml:space="preserve">BA and </w:t>
      </w:r>
      <w:r w:rsidR="00D23389" w:rsidRPr="002C5D58">
        <w:rPr>
          <w:rFonts w:cs="Arial"/>
          <w:sz w:val="22"/>
          <w:szCs w:val="22"/>
          <w:lang w:val="en-US"/>
        </w:rPr>
        <w:t>CE</w:t>
      </w:r>
      <w:r w:rsidR="00CF663E" w:rsidRPr="002C5D58">
        <w:rPr>
          <w:rFonts w:cs="Arial"/>
          <w:sz w:val="22"/>
          <w:szCs w:val="22"/>
          <w:lang w:val="en-US"/>
        </w:rPr>
        <w:t xml:space="preserve"> agree that </w:t>
      </w:r>
      <w:r w:rsidRPr="002C5D58">
        <w:rPr>
          <w:rFonts w:cs="Arial"/>
          <w:sz w:val="22"/>
          <w:szCs w:val="22"/>
        </w:rPr>
        <w:t>a Breach has not occurred, notification to Individual(s) is not required</w:t>
      </w:r>
      <w:r w:rsidRPr="002C5D58">
        <w:rPr>
          <w:rFonts w:cs="Arial"/>
          <w:sz w:val="22"/>
          <w:szCs w:val="22"/>
          <w:lang w:val="en-US"/>
        </w:rPr>
        <w:t>.</w:t>
      </w:r>
    </w:p>
    <w:p w14:paraId="7DE45F4B" w14:textId="625855F8" w:rsidR="00AC5B91" w:rsidRPr="002C5D58" w:rsidRDefault="00AC5B91" w:rsidP="002C5D58">
      <w:pPr>
        <w:pStyle w:val="Header"/>
        <w:numPr>
          <w:ilvl w:val="3"/>
          <w:numId w:val="2"/>
        </w:numPr>
        <w:tabs>
          <w:tab w:val="clear" w:pos="4320"/>
          <w:tab w:val="clear" w:pos="8640"/>
        </w:tabs>
        <w:spacing w:after="120"/>
        <w:ind w:left="1800"/>
        <w:jc w:val="both"/>
        <w:rPr>
          <w:rFonts w:cs="Arial"/>
          <w:sz w:val="22"/>
          <w:szCs w:val="22"/>
        </w:rPr>
      </w:pPr>
      <w:r w:rsidRPr="002C5D58">
        <w:rPr>
          <w:rFonts w:cs="Arial"/>
          <w:sz w:val="22"/>
          <w:szCs w:val="22"/>
        </w:rPr>
        <w:t xml:space="preserve">If a Breach has occurred, notification to the Individual(s) is required and BA must provide </w:t>
      </w:r>
      <w:r w:rsidR="00D23389" w:rsidRPr="002C5D58">
        <w:rPr>
          <w:rFonts w:cs="Arial"/>
          <w:sz w:val="22"/>
          <w:szCs w:val="22"/>
        </w:rPr>
        <w:t>CE</w:t>
      </w:r>
      <w:r w:rsidRPr="002C5D58">
        <w:rPr>
          <w:rFonts w:cs="Arial"/>
          <w:sz w:val="22"/>
          <w:szCs w:val="22"/>
        </w:rPr>
        <w:t xml:space="preserve"> with affected Individual(s) name and contact information so that </w:t>
      </w:r>
      <w:r w:rsidR="00D23389" w:rsidRPr="002C5D58">
        <w:rPr>
          <w:rFonts w:cs="Arial"/>
          <w:sz w:val="22"/>
          <w:szCs w:val="22"/>
        </w:rPr>
        <w:t>CE</w:t>
      </w:r>
      <w:r w:rsidRPr="002C5D58">
        <w:rPr>
          <w:rFonts w:cs="Arial"/>
          <w:sz w:val="22"/>
          <w:szCs w:val="22"/>
        </w:rPr>
        <w:t xml:space="preserve"> can provide notification</w:t>
      </w:r>
      <w:r w:rsidRPr="002C5D58">
        <w:rPr>
          <w:rFonts w:cs="Arial"/>
          <w:sz w:val="22"/>
          <w:szCs w:val="22"/>
          <w:lang w:val="en-US"/>
        </w:rPr>
        <w:t>.</w:t>
      </w:r>
    </w:p>
    <w:p w14:paraId="3D28B882" w14:textId="05E2511F" w:rsidR="00AC5B91" w:rsidRPr="002C5D58" w:rsidRDefault="00AC5B91" w:rsidP="002C5D58">
      <w:pPr>
        <w:pStyle w:val="Header"/>
        <w:numPr>
          <w:ilvl w:val="2"/>
          <w:numId w:val="2"/>
        </w:numPr>
        <w:tabs>
          <w:tab w:val="clear" w:pos="4320"/>
          <w:tab w:val="clear" w:pos="8640"/>
        </w:tabs>
        <w:spacing w:after="120"/>
        <w:ind w:left="1350"/>
        <w:jc w:val="both"/>
        <w:rPr>
          <w:rFonts w:cs="Arial"/>
          <w:sz w:val="22"/>
          <w:szCs w:val="22"/>
        </w:rPr>
      </w:pPr>
      <w:r w:rsidRPr="002C5D58">
        <w:rPr>
          <w:rFonts w:cs="Arial"/>
          <w:sz w:val="22"/>
          <w:szCs w:val="22"/>
        </w:rPr>
        <w:t xml:space="preserve">Make available to </w:t>
      </w:r>
      <w:r w:rsidR="00D23389" w:rsidRPr="002C5D58">
        <w:rPr>
          <w:rFonts w:cs="Arial"/>
          <w:sz w:val="22"/>
          <w:szCs w:val="22"/>
        </w:rPr>
        <w:t>CE</w:t>
      </w:r>
      <w:r w:rsidRPr="002C5D58">
        <w:rPr>
          <w:rFonts w:cs="Arial"/>
          <w:sz w:val="22"/>
          <w:szCs w:val="22"/>
        </w:rPr>
        <w:t xml:space="preserve"> and governing </w:t>
      </w:r>
      <w:r w:rsidR="0005255A">
        <w:rPr>
          <w:rFonts w:cs="Arial"/>
          <w:sz w:val="22"/>
          <w:szCs w:val="22"/>
          <w:lang w:val="en-US"/>
        </w:rPr>
        <w:t>s</w:t>
      </w:r>
      <w:r w:rsidRPr="002C5D58">
        <w:rPr>
          <w:rFonts w:cs="Arial"/>
          <w:sz w:val="22"/>
          <w:szCs w:val="22"/>
        </w:rPr>
        <w:t xml:space="preserve">tate and </w:t>
      </w:r>
      <w:r w:rsidR="0005255A">
        <w:rPr>
          <w:rFonts w:cs="Arial"/>
          <w:sz w:val="22"/>
          <w:szCs w:val="22"/>
          <w:lang w:val="en-US"/>
        </w:rPr>
        <w:t>f</w:t>
      </w:r>
      <w:r w:rsidRPr="002C5D58">
        <w:rPr>
          <w:rFonts w:cs="Arial"/>
          <w:sz w:val="22"/>
          <w:szCs w:val="22"/>
        </w:rPr>
        <w:t xml:space="preserve">ederal agencies in a time and manner designated by </w:t>
      </w:r>
      <w:r w:rsidR="00D23389" w:rsidRPr="002C5D58">
        <w:rPr>
          <w:rFonts w:cs="Arial"/>
          <w:sz w:val="22"/>
          <w:szCs w:val="22"/>
        </w:rPr>
        <w:t>CE</w:t>
      </w:r>
      <w:r w:rsidRPr="002C5D58">
        <w:rPr>
          <w:rFonts w:cs="Arial"/>
          <w:sz w:val="22"/>
          <w:szCs w:val="22"/>
        </w:rPr>
        <w:t xml:space="preserve"> or governing </w:t>
      </w:r>
      <w:r w:rsidR="0005255A">
        <w:rPr>
          <w:rFonts w:cs="Arial"/>
          <w:sz w:val="22"/>
          <w:szCs w:val="22"/>
          <w:lang w:val="en-US"/>
        </w:rPr>
        <w:t>s</w:t>
      </w:r>
      <w:r w:rsidRPr="002C5D58">
        <w:rPr>
          <w:rFonts w:cs="Arial"/>
          <w:sz w:val="22"/>
          <w:szCs w:val="22"/>
        </w:rPr>
        <w:t xml:space="preserve">tate and </w:t>
      </w:r>
      <w:r w:rsidR="0005255A">
        <w:rPr>
          <w:rFonts w:cs="Arial"/>
          <w:sz w:val="22"/>
          <w:szCs w:val="22"/>
          <w:lang w:val="en-US"/>
        </w:rPr>
        <w:t>f</w:t>
      </w:r>
      <w:r w:rsidRPr="002C5D58">
        <w:rPr>
          <w:rFonts w:cs="Arial"/>
          <w:sz w:val="22"/>
          <w:szCs w:val="22"/>
        </w:rPr>
        <w:t xml:space="preserve">ederal agencies, any policies, procedures, internal practices and records relating to a Breach or suspected Breach for the purposes of audit or should the </w:t>
      </w:r>
      <w:r w:rsidR="00D23389" w:rsidRPr="002C5D58">
        <w:rPr>
          <w:rFonts w:cs="Arial"/>
          <w:sz w:val="22"/>
          <w:szCs w:val="22"/>
        </w:rPr>
        <w:t>CE</w:t>
      </w:r>
      <w:r w:rsidRPr="002C5D58">
        <w:rPr>
          <w:rFonts w:cs="Arial"/>
          <w:sz w:val="22"/>
          <w:szCs w:val="22"/>
        </w:rPr>
        <w:t xml:space="preserve"> reserve the right to conduct its own investigation and analysis</w:t>
      </w:r>
      <w:r w:rsidRPr="002C5D58">
        <w:rPr>
          <w:rFonts w:cs="Arial"/>
          <w:sz w:val="22"/>
          <w:szCs w:val="22"/>
          <w:lang w:val="en-US"/>
        </w:rPr>
        <w:t>.</w:t>
      </w:r>
    </w:p>
    <w:p w14:paraId="5E3B1B3B" w14:textId="54C794DA" w:rsidR="00AC5B91" w:rsidRPr="002C5D58" w:rsidRDefault="00AC5B91" w:rsidP="002C5D58">
      <w:pPr>
        <w:numPr>
          <w:ilvl w:val="1"/>
          <w:numId w:val="2"/>
        </w:numPr>
        <w:suppressAutoHyphens/>
        <w:spacing w:after="120"/>
        <w:jc w:val="both"/>
        <w:rPr>
          <w:rFonts w:cs="Arial"/>
          <w:szCs w:val="22"/>
          <w:u w:val="single"/>
        </w:rPr>
      </w:pPr>
      <w:r w:rsidRPr="002C5D58">
        <w:rPr>
          <w:rFonts w:cs="Arial"/>
          <w:szCs w:val="22"/>
          <w:u w:val="single"/>
        </w:rPr>
        <w:t xml:space="preserve">Access to </w:t>
      </w:r>
      <w:r w:rsidR="00B81BC0" w:rsidRPr="002C5D58">
        <w:rPr>
          <w:rFonts w:cs="Arial"/>
          <w:szCs w:val="22"/>
          <w:u w:val="single"/>
        </w:rPr>
        <w:t>PHI</w:t>
      </w:r>
    </w:p>
    <w:p w14:paraId="1C9095A1" w14:textId="58C2809B" w:rsidR="00AC5B91" w:rsidRPr="002C5D58" w:rsidRDefault="00A80746" w:rsidP="002C5D58">
      <w:pPr>
        <w:pStyle w:val="Header"/>
        <w:tabs>
          <w:tab w:val="clear" w:pos="4320"/>
          <w:tab w:val="clear" w:pos="8640"/>
        </w:tabs>
        <w:spacing w:after="120"/>
        <w:ind w:left="900"/>
        <w:jc w:val="both"/>
        <w:rPr>
          <w:rFonts w:cs="Arial"/>
          <w:sz w:val="22"/>
          <w:szCs w:val="22"/>
        </w:rPr>
      </w:pPr>
      <w:r w:rsidRPr="002C5D58">
        <w:rPr>
          <w:rFonts w:cs="Arial"/>
          <w:sz w:val="22"/>
          <w:szCs w:val="22"/>
          <w:lang w:val="en-US"/>
        </w:rPr>
        <w:t xml:space="preserve">To the extent BA maintains a </w:t>
      </w:r>
      <w:r w:rsidR="003A5740" w:rsidRPr="002C5D58">
        <w:rPr>
          <w:rFonts w:cs="Arial"/>
          <w:sz w:val="22"/>
          <w:szCs w:val="22"/>
          <w:lang w:val="en-US"/>
        </w:rPr>
        <w:t>D</w:t>
      </w:r>
      <w:r w:rsidRPr="002C5D58">
        <w:rPr>
          <w:rFonts w:cs="Arial"/>
          <w:sz w:val="22"/>
          <w:szCs w:val="22"/>
          <w:lang w:val="en-US"/>
        </w:rPr>
        <w:t xml:space="preserve">esignated </w:t>
      </w:r>
      <w:r w:rsidR="003A5740" w:rsidRPr="002C5D58">
        <w:rPr>
          <w:rFonts w:cs="Arial"/>
          <w:sz w:val="22"/>
          <w:szCs w:val="22"/>
          <w:lang w:val="en-US"/>
        </w:rPr>
        <w:t>R</w:t>
      </w:r>
      <w:r w:rsidRPr="002C5D58">
        <w:rPr>
          <w:rFonts w:cs="Arial"/>
          <w:sz w:val="22"/>
          <w:szCs w:val="22"/>
          <w:lang w:val="en-US"/>
        </w:rPr>
        <w:t xml:space="preserve">ecord </w:t>
      </w:r>
      <w:r w:rsidR="003A5740" w:rsidRPr="002C5D58">
        <w:rPr>
          <w:rFonts w:cs="Arial"/>
          <w:sz w:val="22"/>
          <w:szCs w:val="22"/>
          <w:lang w:val="en-US"/>
        </w:rPr>
        <w:t>S</w:t>
      </w:r>
      <w:r w:rsidRPr="002C5D58">
        <w:rPr>
          <w:rFonts w:cs="Arial"/>
          <w:sz w:val="22"/>
          <w:szCs w:val="22"/>
          <w:lang w:val="en-US"/>
        </w:rPr>
        <w:t xml:space="preserve">et on behalf of CE, BA </w:t>
      </w:r>
      <w:r w:rsidR="00937C72">
        <w:rPr>
          <w:rFonts w:cs="Arial"/>
          <w:sz w:val="22"/>
          <w:szCs w:val="22"/>
          <w:lang w:val="en-US"/>
        </w:rPr>
        <w:t>must</w:t>
      </w:r>
      <w:r w:rsidRPr="002C5D58">
        <w:rPr>
          <w:rFonts w:cs="Arial"/>
          <w:sz w:val="22"/>
          <w:szCs w:val="22"/>
          <w:lang w:val="en-US"/>
        </w:rPr>
        <w:t xml:space="preserve"> make PHI maintained by BA or its agents or subcontractors in </w:t>
      </w:r>
      <w:r w:rsidR="003A5740" w:rsidRPr="002C5D58">
        <w:rPr>
          <w:rFonts w:cs="Arial"/>
          <w:sz w:val="22"/>
          <w:szCs w:val="22"/>
          <w:lang w:val="en-US"/>
        </w:rPr>
        <w:t>D</w:t>
      </w:r>
      <w:r w:rsidRPr="002C5D58">
        <w:rPr>
          <w:rFonts w:cs="Arial"/>
          <w:sz w:val="22"/>
          <w:szCs w:val="22"/>
          <w:lang w:val="en-US"/>
        </w:rPr>
        <w:t xml:space="preserve">esignated </w:t>
      </w:r>
      <w:r w:rsidR="003A5740" w:rsidRPr="002C5D58">
        <w:rPr>
          <w:rFonts w:cs="Arial"/>
          <w:sz w:val="22"/>
          <w:szCs w:val="22"/>
          <w:lang w:val="en-US"/>
        </w:rPr>
        <w:t>R</w:t>
      </w:r>
      <w:r w:rsidRPr="002C5D58">
        <w:rPr>
          <w:rFonts w:cs="Arial"/>
          <w:sz w:val="22"/>
          <w:szCs w:val="22"/>
          <w:lang w:val="en-US"/>
        </w:rPr>
        <w:t xml:space="preserve">ecord </w:t>
      </w:r>
      <w:r w:rsidR="003A5740" w:rsidRPr="002C5D58">
        <w:rPr>
          <w:rFonts w:cs="Arial"/>
          <w:sz w:val="22"/>
          <w:szCs w:val="22"/>
          <w:lang w:val="en-US"/>
        </w:rPr>
        <w:t>S</w:t>
      </w:r>
      <w:r w:rsidRPr="002C5D58">
        <w:rPr>
          <w:rFonts w:cs="Arial"/>
          <w:sz w:val="22"/>
          <w:szCs w:val="22"/>
          <w:lang w:val="en-US"/>
        </w:rPr>
        <w:t xml:space="preserve">ets available to CE for inspection and copying within ten (10) </w:t>
      </w:r>
      <w:r w:rsidR="00EE0CDC">
        <w:rPr>
          <w:rFonts w:cs="Arial"/>
          <w:sz w:val="22"/>
          <w:szCs w:val="22"/>
          <w:lang w:val="en-US"/>
        </w:rPr>
        <w:t xml:space="preserve">calendar </w:t>
      </w:r>
      <w:r w:rsidRPr="002C5D58">
        <w:rPr>
          <w:rFonts w:cs="Arial"/>
          <w:sz w:val="22"/>
          <w:szCs w:val="22"/>
          <w:lang w:val="en-US"/>
        </w:rPr>
        <w:t>days</w:t>
      </w:r>
      <w:r w:rsidR="00A46C99" w:rsidRPr="002C5D58">
        <w:rPr>
          <w:rFonts w:cs="Arial"/>
          <w:sz w:val="22"/>
          <w:szCs w:val="22"/>
          <w:lang w:val="en-US"/>
        </w:rPr>
        <w:t xml:space="preserve"> of a request by CE to enable CE to fulfill its obligations under the Privacy Rule.  If BA maintains ePHI, BA </w:t>
      </w:r>
      <w:r w:rsidR="00937C72">
        <w:rPr>
          <w:rFonts w:cs="Arial"/>
          <w:sz w:val="22"/>
          <w:szCs w:val="22"/>
          <w:lang w:val="en-US"/>
        </w:rPr>
        <w:t>must</w:t>
      </w:r>
      <w:r w:rsidR="00A46C99" w:rsidRPr="002C5D58">
        <w:rPr>
          <w:rFonts w:cs="Arial"/>
          <w:sz w:val="22"/>
          <w:szCs w:val="22"/>
          <w:lang w:val="en-US"/>
        </w:rPr>
        <w:t xml:space="preserve"> provide such information in electronic format to enable CE to fulfill its obligations under the HITECH Act.  If BA receives a request from an Individual for access to PHI, BA </w:t>
      </w:r>
      <w:r w:rsidR="00937C72">
        <w:rPr>
          <w:rFonts w:cs="Arial"/>
          <w:sz w:val="22"/>
          <w:szCs w:val="22"/>
          <w:lang w:val="en-US"/>
        </w:rPr>
        <w:t>must</w:t>
      </w:r>
      <w:r w:rsidR="00A46C99" w:rsidRPr="002C5D58">
        <w:rPr>
          <w:rFonts w:cs="Arial"/>
          <w:sz w:val="22"/>
          <w:szCs w:val="22"/>
          <w:lang w:val="en-US"/>
        </w:rPr>
        <w:t xml:space="preserve"> immediately forward such request to CE</w:t>
      </w:r>
      <w:r w:rsidR="00773380" w:rsidRPr="002C5D58">
        <w:rPr>
          <w:rFonts w:cs="Arial"/>
          <w:sz w:val="22"/>
          <w:szCs w:val="22"/>
          <w:lang w:val="en-US"/>
        </w:rPr>
        <w:t>.</w:t>
      </w:r>
    </w:p>
    <w:p w14:paraId="71C90A3E" w14:textId="6BC81293" w:rsidR="00AC5B91" w:rsidRPr="002C5D58" w:rsidRDefault="00AC5B91" w:rsidP="002C5D58">
      <w:pPr>
        <w:pStyle w:val="Header"/>
        <w:numPr>
          <w:ilvl w:val="1"/>
          <w:numId w:val="2"/>
        </w:numPr>
        <w:tabs>
          <w:tab w:val="clear" w:pos="4320"/>
          <w:tab w:val="clear" w:pos="8640"/>
        </w:tabs>
        <w:spacing w:after="120"/>
        <w:jc w:val="both"/>
        <w:rPr>
          <w:rFonts w:cs="Arial"/>
          <w:sz w:val="22"/>
          <w:szCs w:val="22"/>
          <w:u w:val="single"/>
        </w:rPr>
      </w:pPr>
      <w:r w:rsidRPr="002C5D58">
        <w:rPr>
          <w:rFonts w:cs="Arial"/>
          <w:sz w:val="22"/>
          <w:szCs w:val="22"/>
          <w:u w:val="single"/>
        </w:rPr>
        <w:lastRenderedPageBreak/>
        <w:t xml:space="preserve">Amendment of </w:t>
      </w:r>
      <w:r w:rsidR="00B81BC0" w:rsidRPr="002C5D58">
        <w:rPr>
          <w:rFonts w:cs="Arial"/>
          <w:sz w:val="22"/>
          <w:szCs w:val="22"/>
          <w:u w:val="single"/>
          <w:lang w:val="en-US"/>
        </w:rPr>
        <w:t>PHI</w:t>
      </w:r>
    </w:p>
    <w:p w14:paraId="489AD4AC" w14:textId="259ACEDE" w:rsidR="00AC5B91" w:rsidRPr="002C5D58" w:rsidRDefault="00AC5B91" w:rsidP="002C5D58">
      <w:pPr>
        <w:pStyle w:val="Header"/>
        <w:tabs>
          <w:tab w:val="clear" w:pos="4320"/>
          <w:tab w:val="clear" w:pos="8640"/>
        </w:tabs>
        <w:spacing w:after="120"/>
        <w:ind w:left="900"/>
        <w:jc w:val="both"/>
        <w:rPr>
          <w:rFonts w:cs="Arial"/>
          <w:sz w:val="22"/>
          <w:szCs w:val="22"/>
        </w:rPr>
      </w:pPr>
      <w:r w:rsidRPr="002C5D58">
        <w:rPr>
          <w:rFonts w:cs="Arial"/>
          <w:sz w:val="22"/>
          <w:szCs w:val="22"/>
        </w:rPr>
        <w:t xml:space="preserve">If </w:t>
      </w:r>
      <w:r w:rsidR="00A46C99" w:rsidRPr="002C5D58">
        <w:rPr>
          <w:rFonts w:cs="Arial"/>
          <w:sz w:val="22"/>
          <w:szCs w:val="22"/>
          <w:lang w:val="en-US"/>
        </w:rPr>
        <w:t>BA</w:t>
      </w:r>
      <w:r w:rsidRPr="002C5D58">
        <w:rPr>
          <w:rFonts w:cs="Arial"/>
          <w:sz w:val="22"/>
          <w:szCs w:val="22"/>
        </w:rPr>
        <w:t xml:space="preserve"> maintains a </w:t>
      </w:r>
      <w:r w:rsidR="004C3634">
        <w:rPr>
          <w:rFonts w:cs="Arial"/>
          <w:sz w:val="22"/>
          <w:szCs w:val="22"/>
          <w:lang w:val="en-US"/>
        </w:rPr>
        <w:t xml:space="preserve">Designated Record Set </w:t>
      </w:r>
      <w:r w:rsidRPr="002C5D58">
        <w:rPr>
          <w:rFonts w:cs="Arial"/>
          <w:sz w:val="22"/>
          <w:szCs w:val="22"/>
        </w:rPr>
        <w:t xml:space="preserve">on behalf of the </w:t>
      </w:r>
      <w:r w:rsidR="00A46C99" w:rsidRPr="002C5D58">
        <w:rPr>
          <w:rFonts w:cs="Arial"/>
          <w:sz w:val="22"/>
          <w:szCs w:val="22"/>
          <w:lang w:val="en-US"/>
        </w:rPr>
        <w:t>CE</w:t>
      </w:r>
      <w:r w:rsidRPr="002C5D58">
        <w:rPr>
          <w:rFonts w:cs="Arial"/>
          <w:sz w:val="22"/>
          <w:szCs w:val="22"/>
        </w:rPr>
        <w:t xml:space="preserve">, </w:t>
      </w:r>
      <w:r w:rsidR="00A46C99" w:rsidRPr="002C5D58">
        <w:rPr>
          <w:rFonts w:cs="Arial"/>
          <w:sz w:val="22"/>
          <w:szCs w:val="22"/>
          <w:lang w:val="en-US"/>
        </w:rPr>
        <w:t>BA</w:t>
      </w:r>
      <w:r w:rsidRPr="002C5D58">
        <w:rPr>
          <w:rFonts w:cs="Arial"/>
          <w:sz w:val="22"/>
          <w:szCs w:val="22"/>
        </w:rPr>
        <w:t xml:space="preserve"> </w:t>
      </w:r>
      <w:r w:rsidR="00937C72">
        <w:rPr>
          <w:rFonts w:cs="Arial"/>
          <w:sz w:val="22"/>
          <w:szCs w:val="22"/>
        </w:rPr>
        <w:t>must</w:t>
      </w:r>
      <w:r w:rsidRPr="002C5D58">
        <w:rPr>
          <w:rFonts w:cs="Arial"/>
          <w:sz w:val="22"/>
          <w:szCs w:val="22"/>
        </w:rPr>
        <w:t xml:space="preserve"> make any amendment(s) to PHI in a </w:t>
      </w:r>
      <w:r w:rsidR="004C3634">
        <w:rPr>
          <w:rFonts w:cs="Arial"/>
          <w:sz w:val="22"/>
          <w:szCs w:val="22"/>
          <w:lang w:val="en-US"/>
        </w:rPr>
        <w:t>Designated Record</w:t>
      </w:r>
      <w:r w:rsidRPr="002C5D58">
        <w:rPr>
          <w:rFonts w:cs="Arial"/>
          <w:sz w:val="22"/>
          <w:szCs w:val="22"/>
        </w:rPr>
        <w:t xml:space="preserve"> </w:t>
      </w:r>
      <w:r w:rsidR="003A5740" w:rsidRPr="002C5D58">
        <w:rPr>
          <w:rFonts w:cs="Arial"/>
          <w:sz w:val="22"/>
          <w:szCs w:val="22"/>
          <w:lang w:val="en-US"/>
        </w:rPr>
        <w:t>S</w:t>
      </w:r>
      <w:r w:rsidR="00A46C99" w:rsidRPr="002C5D58">
        <w:rPr>
          <w:rFonts w:cs="Arial"/>
          <w:sz w:val="22"/>
          <w:szCs w:val="22"/>
          <w:lang w:val="en-US"/>
        </w:rPr>
        <w:t>e</w:t>
      </w:r>
      <w:r w:rsidRPr="002C5D58">
        <w:rPr>
          <w:rFonts w:cs="Arial"/>
          <w:sz w:val="22"/>
          <w:szCs w:val="22"/>
        </w:rPr>
        <w:t>t that the CE directs or agrees to, pursuant to 45 C</w:t>
      </w:r>
      <w:r w:rsidR="00A46C99" w:rsidRPr="002C5D58">
        <w:rPr>
          <w:rFonts w:cs="Arial"/>
          <w:sz w:val="22"/>
          <w:szCs w:val="22"/>
          <w:lang w:val="en-US"/>
        </w:rPr>
        <w:t>.</w:t>
      </w:r>
      <w:r w:rsidRPr="002C5D58">
        <w:rPr>
          <w:rFonts w:cs="Arial"/>
          <w:sz w:val="22"/>
          <w:szCs w:val="22"/>
        </w:rPr>
        <w:t>F</w:t>
      </w:r>
      <w:r w:rsidR="00A46C99" w:rsidRPr="002C5D58">
        <w:rPr>
          <w:rFonts w:cs="Arial"/>
          <w:sz w:val="22"/>
          <w:szCs w:val="22"/>
          <w:lang w:val="en-US"/>
        </w:rPr>
        <w:t>.</w:t>
      </w:r>
      <w:r w:rsidRPr="002C5D58">
        <w:rPr>
          <w:rFonts w:cs="Arial"/>
          <w:sz w:val="22"/>
          <w:szCs w:val="22"/>
        </w:rPr>
        <w:t>R</w:t>
      </w:r>
      <w:r w:rsidR="00A46C99" w:rsidRPr="002C5D58">
        <w:rPr>
          <w:rFonts w:cs="Arial"/>
          <w:sz w:val="22"/>
          <w:szCs w:val="22"/>
          <w:lang w:val="en-US"/>
        </w:rPr>
        <w:t>.</w:t>
      </w:r>
      <w:r w:rsidRPr="002C5D58">
        <w:rPr>
          <w:rFonts w:cs="Arial"/>
          <w:sz w:val="22"/>
          <w:szCs w:val="22"/>
        </w:rPr>
        <w:t xml:space="preserve"> </w:t>
      </w:r>
      <w:r w:rsidR="004C3634">
        <w:rPr>
          <w:rFonts w:cs="Arial"/>
          <w:sz w:val="22"/>
          <w:szCs w:val="22"/>
          <w:lang w:val="en-US"/>
        </w:rPr>
        <w:t>section</w:t>
      </w:r>
      <w:r w:rsidRPr="002C5D58">
        <w:rPr>
          <w:rFonts w:cs="Arial"/>
          <w:sz w:val="22"/>
          <w:szCs w:val="22"/>
        </w:rPr>
        <w:t xml:space="preserve"> 164.526, </w:t>
      </w:r>
      <w:r w:rsidR="004C3634">
        <w:rPr>
          <w:rFonts w:cs="Arial"/>
          <w:sz w:val="22"/>
          <w:szCs w:val="22"/>
          <w:lang w:val="en-US"/>
        </w:rPr>
        <w:t xml:space="preserve">or take other measures as necessary to satisfy CE’s obligations under 45 C.F.R. section 164.526, </w:t>
      </w:r>
      <w:r w:rsidRPr="002C5D58">
        <w:rPr>
          <w:rFonts w:cs="Arial"/>
          <w:sz w:val="22"/>
          <w:szCs w:val="22"/>
        </w:rPr>
        <w:t>in the time and manner designated by the CE.</w:t>
      </w:r>
    </w:p>
    <w:p w14:paraId="76DDB6E7" w14:textId="259B70E8" w:rsidR="00AC5B91" w:rsidRPr="002C5D58" w:rsidRDefault="00AC5B91" w:rsidP="002C5D58">
      <w:pPr>
        <w:pStyle w:val="Header"/>
        <w:numPr>
          <w:ilvl w:val="1"/>
          <w:numId w:val="2"/>
        </w:numPr>
        <w:tabs>
          <w:tab w:val="clear" w:pos="4320"/>
          <w:tab w:val="clear" w:pos="8640"/>
        </w:tabs>
        <w:spacing w:after="120"/>
        <w:jc w:val="both"/>
        <w:rPr>
          <w:rFonts w:cs="Arial"/>
          <w:sz w:val="22"/>
          <w:szCs w:val="22"/>
        </w:rPr>
      </w:pPr>
      <w:r w:rsidRPr="002C5D58">
        <w:rPr>
          <w:rFonts w:cs="Arial"/>
          <w:sz w:val="22"/>
          <w:szCs w:val="22"/>
          <w:u w:val="single"/>
        </w:rPr>
        <w:t>Access to Record</w:t>
      </w:r>
      <w:r w:rsidRPr="002C5D58">
        <w:rPr>
          <w:rFonts w:cs="Arial"/>
          <w:sz w:val="22"/>
          <w:szCs w:val="22"/>
          <w:u w:val="single"/>
          <w:lang w:val="en-US"/>
        </w:rPr>
        <w:t>s</w:t>
      </w:r>
    </w:p>
    <w:p w14:paraId="32BEB5C1" w14:textId="0F331620" w:rsidR="00AC5B91" w:rsidRPr="002C5D58" w:rsidRDefault="00AC5B91" w:rsidP="002C5D58">
      <w:pPr>
        <w:pStyle w:val="Header"/>
        <w:tabs>
          <w:tab w:val="clear" w:pos="4320"/>
          <w:tab w:val="clear" w:pos="8640"/>
        </w:tabs>
        <w:spacing w:after="120"/>
        <w:ind w:left="900"/>
        <w:jc w:val="both"/>
        <w:rPr>
          <w:rFonts w:cs="Arial"/>
          <w:sz w:val="22"/>
          <w:szCs w:val="22"/>
        </w:rPr>
      </w:pPr>
      <w:r w:rsidRPr="002C5D58">
        <w:rPr>
          <w:rFonts w:cs="Arial"/>
          <w:sz w:val="22"/>
          <w:szCs w:val="22"/>
        </w:rPr>
        <w:t xml:space="preserve">BA </w:t>
      </w:r>
      <w:r w:rsidR="00937C72">
        <w:rPr>
          <w:rFonts w:cs="Arial"/>
          <w:sz w:val="22"/>
          <w:szCs w:val="22"/>
        </w:rPr>
        <w:t>must</w:t>
      </w:r>
      <w:r w:rsidRPr="002C5D58">
        <w:rPr>
          <w:rFonts w:cs="Arial"/>
          <w:sz w:val="22"/>
          <w:szCs w:val="22"/>
        </w:rPr>
        <w:t xml:space="preserve"> make internal practices, books, and records, including policies and procedures, relating to the use, access and disclosure of PHI received from, or created or received by BA on behalf of, CE available to the Secretary of </w:t>
      </w:r>
      <w:r w:rsidR="00A46C99" w:rsidRPr="002C5D58">
        <w:rPr>
          <w:rFonts w:cs="Arial"/>
          <w:sz w:val="22"/>
          <w:szCs w:val="22"/>
          <w:lang w:val="en-US"/>
        </w:rPr>
        <w:t>HHS</w:t>
      </w:r>
      <w:r w:rsidRPr="002C5D58">
        <w:rPr>
          <w:rFonts w:cs="Arial"/>
          <w:sz w:val="22"/>
          <w:szCs w:val="22"/>
        </w:rPr>
        <w:t xml:space="preserve">, in a time and manner designated by the Secretary, for purposes of the Secretary determining CE’s compliance with the Privacy </w:t>
      </w:r>
      <w:r w:rsidR="003A5740" w:rsidRPr="002C5D58">
        <w:rPr>
          <w:rFonts w:cs="Arial"/>
          <w:sz w:val="22"/>
          <w:szCs w:val="22"/>
          <w:lang w:val="en-US"/>
        </w:rPr>
        <w:t xml:space="preserve">Rule </w:t>
      </w:r>
      <w:r w:rsidRPr="002C5D58">
        <w:rPr>
          <w:rFonts w:cs="Arial"/>
          <w:sz w:val="22"/>
          <w:szCs w:val="22"/>
        </w:rPr>
        <w:t xml:space="preserve">and Security Rule and patient confidentiality regulations.  </w:t>
      </w:r>
      <w:r w:rsidR="00A46C99" w:rsidRPr="002C5D58">
        <w:rPr>
          <w:rFonts w:cs="Arial"/>
          <w:sz w:val="22"/>
          <w:szCs w:val="22"/>
          <w:lang w:val="en-US"/>
        </w:rPr>
        <w:t>Any documentation</w:t>
      </w:r>
      <w:r w:rsidR="00A46C99" w:rsidRPr="002C5D58">
        <w:rPr>
          <w:rFonts w:cs="Arial"/>
          <w:sz w:val="22"/>
          <w:szCs w:val="22"/>
        </w:rPr>
        <w:t xml:space="preserve"> </w:t>
      </w:r>
      <w:r w:rsidRPr="002C5D58">
        <w:rPr>
          <w:rFonts w:cs="Arial"/>
          <w:sz w:val="22"/>
          <w:szCs w:val="22"/>
        </w:rPr>
        <w:t xml:space="preserve">provided to the Secretary </w:t>
      </w:r>
      <w:r w:rsidR="00937C72">
        <w:rPr>
          <w:rFonts w:cs="Arial"/>
          <w:sz w:val="22"/>
          <w:szCs w:val="22"/>
        </w:rPr>
        <w:t>must</w:t>
      </w:r>
      <w:r w:rsidRPr="002C5D58">
        <w:rPr>
          <w:rFonts w:cs="Arial"/>
          <w:sz w:val="22"/>
          <w:szCs w:val="22"/>
        </w:rPr>
        <w:t xml:space="preserve"> also be provided to the CE upon</w:t>
      </w:r>
      <w:r w:rsidR="00A46C99" w:rsidRPr="002C5D58">
        <w:rPr>
          <w:rFonts w:cs="Arial"/>
          <w:sz w:val="22"/>
          <w:szCs w:val="22"/>
          <w:lang w:val="en-US"/>
        </w:rPr>
        <w:t xml:space="preserve"> </w:t>
      </w:r>
      <w:r w:rsidRPr="002C5D58">
        <w:rPr>
          <w:rFonts w:cs="Arial"/>
          <w:sz w:val="22"/>
          <w:szCs w:val="22"/>
        </w:rPr>
        <w:t>request</w:t>
      </w:r>
      <w:r w:rsidRPr="002C5D58">
        <w:rPr>
          <w:rFonts w:cs="Arial"/>
          <w:sz w:val="22"/>
          <w:szCs w:val="22"/>
          <w:lang w:val="en-US"/>
        </w:rPr>
        <w:t>.</w:t>
      </w:r>
    </w:p>
    <w:p w14:paraId="594F6E13" w14:textId="77777777" w:rsidR="00AC5B91" w:rsidRPr="002C5D58" w:rsidRDefault="00AC5B91" w:rsidP="002C5D58">
      <w:pPr>
        <w:pStyle w:val="Header"/>
        <w:numPr>
          <w:ilvl w:val="1"/>
          <w:numId w:val="2"/>
        </w:numPr>
        <w:tabs>
          <w:tab w:val="clear" w:pos="4320"/>
          <w:tab w:val="clear" w:pos="8640"/>
        </w:tabs>
        <w:spacing w:after="120"/>
        <w:jc w:val="both"/>
        <w:rPr>
          <w:rFonts w:cs="Arial"/>
          <w:sz w:val="22"/>
          <w:szCs w:val="22"/>
          <w:u w:val="single"/>
        </w:rPr>
      </w:pPr>
      <w:r w:rsidRPr="002C5D58">
        <w:rPr>
          <w:rFonts w:cs="Arial"/>
          <w:sz w:val="22"/>
          <w:szCs w:val="22"/>
          <w:u w:val="single"/>
        </w:rPr>
        <w:t>Accounting for Disclosures</w:t>
      </w:r>
    </w:p>
    <w:p w14:paraId="57D25DDB" w14:textId="793A64E7" w:rsidR="00BA594D" w:rsidRDefault="00AC5B91"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rPr>
        <w:t xml:space="preserve">BA, its agents and subcontractors </w:t>
      </w:r>
      <w:r w:rsidR="00937C72">
        <w:rPr>
          <w:rFonts w:cs="Arial"/>
          <w:sz w:val="22"/>
          <w:szCs w:val="22"/>
        </w:rPr>
        <w:t>must</w:t>
      </w:r>
      <w:r w:rsidRPr="002C5D58">
        <w:rPr>
          <w:rFonts w:cs="Arial"/>
          <w:sz w:val="22"/>
          <w:szCs w:val="22"/>
        </w:rPr>
        <w:t xml:space="preserve"> document disclosures of PHI and information related to such disclosures</w:t>
      </w:r>
      <w:r w:rsidR="00773380" w:rsidRPr="002C5D58">
        <w:rPr>
          <w:rFonts w:cs="Arial"/>
          <w:sz w:val="22"/>
          <w:szCs w:val="22"/>
          <w:lang w:val="en-US"/>
        </w:rPr>
        <w:t xml:space="preserve"> as </w:t>
      </w:r>
      <w:r w:rsidR="00E12121" w:rsidRPr="002C5D58">
        <w:rPr>
          <w:rFonts w:cs="Arial"/>
          <w:sz w:val="22"/>
          <w:szCs w:val="22"/>
          <w:lang w:val="en-US"/>
        </w:rPr>
        <w:t>required by</w:t>
      </w:r>
      <w:r w:rsidR="00773380" w:rsidRPr="002C5D58">
        <w:rPr>
          <w:rFonts w:cs="Arial"/>
          <w:sz w:val="22"/>
          <w:szCs w:val="22"/>
          <w:lang w:val="en-US"/>
        </w:rPr>
        <w:t xml:space="preserve"> HIPAA.</w:t>
      </w:r>
      <w:r w:rsidR="00E12121" w:rsidRPr="002C5D58">
        <w:rPr>
          <w:rFonts w:cs="Arial"/>
          <w:sz w:val="22"/>
          <w:szCs w:val="22"/>
          <w:lang w:val="en-US"/>
        </w:rPr>
        <w:t xml:space="preserve">  This requirement does not apply to disclosures made for purposes of </w:t>
      </w:r>
      <w:r w:rsidR="00C8797F">
        <w:rPr>
          <w:rFonts w:cs="Arial"/>
          <w:sz w:val="22"/>
          <w:szCs w:val="22"/>
          <w:lang w:val="en-US"/>
        </w:rPr>
        <w:t>treatment, payment, and health care operations</w:t>
      </w:r>
      <w:r w:rsidR="00E12121" w:rsidRPr="002C5D58">
        <w:rPr>
          <w:rFonts w:cs="Arial"/>
          <w:sz w:val="22"/>
          <w:szCs w:val="22"/>
          <w:lang w:val="en-US"/>
        </w:rPr>
        <w:t>.</w:t>
      </w:r>
      <w:r w:rsidR="00773380" w:rsidRPr="002C5D58">
        <w:rPr>
          <w:rFonts w:cs="Arial"/>
          <w:sz w:val="22"/>
          <w:szCs w:val="22"/>
          <w:lang w:val="en-US"/>
        </w:rPr>
        <w:t xml:space="preserve">  </w:t>
      </w:r>
      <w:r w:rsidRPr="002C5D58">
        <w:rPr>
          <w:rFonts w:cs="Arial"/>
          <w:sz w:val="22"/>
          <w:szCs w:val="22"/>
        </w:rPr>
        <w:t xml:space="preserve">BA </w:t>
      </w:r>
      <w:r w:rsidR="00937C72">
        <w:rPr>
          <w:rFonts w:cs="Arial"/>
          <w:sz w:val="22"/>
          <w:szCs w:val="22"/>
        </w:rPr>
        <w:t>must</w:t>
      </w:r>
      <w:r w:rsidRPr="002C5D58">
        <w:rPr>
          <w:rFonts w:cs="Arial"/>
          <w:sz w:val="22"/>
          <w:szCs w:val="22"/>
        </w:rPr>
        <w:t xml:space="preserve"> provide </w:t>
      </w:r>
      <w:r w:rsidR="00E12121" w:rsidRPr="002C5D58">
        <w:rPr>
          <w:rFonts w:cs="Arial"/>
          <w:sz w:val="22"/>
          <w:szCs w:val="22"/>
          <w:lang w:val="en-US"/>
        </w:rPr>
        <w:t>an accounting of disclosures</w:t>
      </w:r>
      <w:r w:rsidR="00E12121" w:rsidRPr="002C5D58">
        <w:rPr>
          <w:rFonts w:cs="Arial"/>
          <w:sz w:val="22"/>
          <w:szCs w:val="22"/>
        </w:rPr>
        <w:t xml:space="preserve"> </w:t>
      </w:r>
      <w:r w:rsidRPr="002C5D58">
        <w:rPr>
          <w:rFonts w:cs="Arial"/>
          <w:sz w:val="22"/>
          <w:szCs w:val="22"/>
        </w:rPr>
        <w:t>to CE or an Individual, in the time and manner designated by the CE</w:t>
      </w:r>
      <w:r w:rsidRPr="002C5D58">
        <w:rPr>
          <w:rFonts w:cs="Arial"/>
          <w:sz w:val="22"/>
          <w:szCs w:val="22"/>
          <w:lang w:val="en-US"/>
        </w:rPr>
        <w:t>.</w:t>
      </w:r>
      <w:r w:rsidR="00773380" w:rsidRPr="002C5D58">
        <w:rPr>
          <w:rFonts w:cs="Arial"/>
          <w:sz w:val="22"/>
          <w:szCs w:val="22"/>
          <w:lang w:val="en-US"/>
        </w:rPr>
        <w:t xml:space="preserve">  </w:t>
      </w:r>
      <w:r w:rsidR="00BA594D" w:rsidRPr="002C5D58">
        <w:rPr>
          <w:rFonts w:cs="Arial"/>
          <w:sz w:val="22"/>
          <w:szCs w:val="22"/>
          <w:lang w:val="en-US"/>
        </w:rPr>
        <w:t xml:space="preserve">BA agrees to implement a process that allows for an accounting to be collected and maintained by BA and its agents or subcontractors for at least six (6) years prior to the request. At a minimum, the information collected and maintained </w:t>
      </w:r>
      <w:r w:rsidR="00937C72">
        <w:rPr>
          <w:rFonts w:cs="Arial"/>
          <w:sz w:val="22"/>
          <w:szCs w:val="22"/>
          <w:lang w:val="en-US"/>
        </w:rPr>
        <w:t>must</w:t>
      </w:r>
      <w:r w:rsidR="00BA594D" w:rsidRPr="002C5D58">
        <w:rPr>
          <w:rFonts w:cs="Arial"/>
          <w:sz w:val="22"/>
          <w:szCs w:val="22"/>
          <w:lang w:val="en-US"/>
        </w:rPr>
        <w:t xml:space="preserve"> include: (i) the date of disclosure; (ii) the name of the entity or person who received PHI and, if known, the address of the entity or person; (iii) a brief description of PHI disclosed; and (iv) a brief statement of purpose of the disclosure that reasonably informs the individual of the basis for the disclosure, or a copy of the Individual’s authorization, or a copy of the written request for disclosure. </w:t>
      </w:r>
    </w:p>
    <w:p w14:paraId="55C4B4C7" w14:textId="3A41252A" w:rsidR="00BA594D" w:rsidRPr="002C5D58" w:rsidRDefault="00BA594D" w:rsidP="00BA594D">
      <w:pPr>
        <w:pStyle w:val="Header"/>
        <w:numPr>
          <w:ilvl w:val="1"/>
          <w:numId w:val="2"/>
        </w:numPr>
        <w:tabs>
          <w:tab w:val="clear" w:pos="4320"/>
          <w:tab w:val="clear" w:pos="8640"/>
        </w:tabs>
        <w:spacing w:after="120"/>
        <w:jc w:val="both"/>
        <w:rPr>
          <w:rFonts w:cs="Arial"/>
          <w:sz w:val="22"/>
          <w:szCs w:val="22"/>
          <w:u w:val="single"/>
        </w:rPr>
      </w:pPr>
      <w:r w:rsidRPr="002C5D58">
        <w:rPr>
          <w:rFonts w:cs="Arial"/>
          <w:bCs/>
          <w:sz w:val="22"/>
          <w:szCs w:val="22"/>
          <w:u w:val="single"/>
          <w:lang w:val="en-US"/>
        </w:rPr>
        <w:t xml:space="preserve">Termination </w:t>
      </w:r>
    </w:p>
    <w:p w14:paraId="76582BA1" w14:textId="2BF7F155" w:rsidR="00BA594D" w:rsidRPr="002C5D58" w:rsidRDefault="00BA594D" w:rsidP="00BA594D">
      <w:pPr>
        <w:pStyle w:val="Header"/>
        <w:tabs>
          <w:tab w:val="clear" w:pos="4320"/>
          <w:tab w:val="clear" w:pos="8640"/>
        </w:tabs>
        <w:spacing w:after="120"/>
        <w:ind w:left="900"/>
        <w:jc w:val="both"/>
        <w:rPr>
          <w:rFonts w:cs="Arial"/>
          <w:sz w:val="22"/>
          <w:szCs w:val="22"/>
        </w:rPr>
      </w:pPr>
      <w:r w:rsidRPr="002C5D58">
        <w:rPr>
          <w:rFonts w:cs="Arial"/>
          <w:bCs/>
          <w:sz w:val="22"/>
          <w:szCs w:val="22"/>
        </w:rPr>
        <w:t xml:space="preserve">CE may  immediately terminate this </w:t>
      </w:r>
      <w:r w:rsidR="00EF10B4">
        <w:rPr>
          <w:rFonts w:cs="Arial"/>
          <w:bCs/>
          <w:sz w:val="22"/>
          <w:szCs w:val="22"/>
          <w:lang w:val="en-US"/>
        </w:rPr>
        <w:t>MOU</w:t>
      </w:r>
      <w:r w:rsidRPr="002C5D58">
        <w:rPr>
          <w:rFonts w:cs="Arial"/>
          <w:bCs/>
          <w:sz w:val="22"/>
          <w:szCs w:val="22"/>
        </w:rPr>
        <w:t xml:space="preserve">, and any related agreements, if CE determines that BA has breached a material term of this </w:t>
      </w:r>
      <w:r w:rsidR="00EF10B4">
        <w:rPr>
          <w:rFonts w:cs="Arial"/>
          <w:bCs/>
          <w:sz w:val="22"/>
          <w:szCs w:val="22"/>
          <w:lang w:val="en-US"/>
        </w:rPr>
        <w:t>MOU</w:t>
      </w:r>
      <w:r w:rsidRPr="002C5D58">
        <w:rPr>
          <w:rFonts w:cs="Arial"/>
          <w:bCs/>
          <w:sz w:val="22"/>
          <w:szCs w:val="22"/>
        </w:rPr>
        <w:t>.  CE may,</w:t>
      </w:r>
      <w:r w:rsidRPr="002C5D58">
        <w:rPr>
          <w:rFonts w:cs="Arial"/>
          <w:bCs/>
          <w:sz w:val="22"/>
          <w:szCs w:val="22"/>
          <w:lang w:val="en-US"/>
        </w:rPr>
        <w:t xml:space="preserve"> at its sole discretion, provide BA an opportunity to cure the breach or end the violation within the time specified by the CE.</w:t>
      </w:r>
    </w:p>
    <w:p w14:paraId="1CA252C1" w14:textId="35479D5E" w:rsidR="00AC5B91" w:rsidRPr="002C5D58" w:rsidRDefault="0070735C" w:rsidP="002C5D58">
      <w:pPr>
        <w:pStyle w:val="Header"/>
        <w:numPr>
          <w:ilvl w:val="1"/>
          <w:numId w:val="2"/>
        </w:numPr>
        <w:tabs>
          <w:tab w:val="clear" w:pos="4320"/>
          <w:tab w:val="clear" w:pos="8640"/>
        </w:tabs>
        <w:spacing w:after="120"/>
        <w:jc w:val="both"/>
        <w:rPr>
          <w:rFonts w:cs="Arial"/>
          <w:sz w:val="22"/>
          <w:szCs w:val="22"/>
          <w:u w:val="single"/>
        </w:rPr>
      </w:pPr>
      <w:r w:rsidRPr="002C5D58">
        <w:rPr>
          <w:rFonts w:cs="Arial"/>
          <w:sz w:val="22"/>
          <w:szCs w:val="22"/>
          <w:u w:val="single"/>
          <w:lang w:val="en-US"/>
        </w:rPr>
        <w:t>Return</w:t>
      </w:r>
      <w:r w:rsidR="00BA594D" w:rsidRPr="002C5D58">
        <w:rPr>
          <w:rFonts w:cs="Arial"/>
          <w:sz w:val="22"/>
          <w:szCs w:val="22"/>
          <w:u w:val="single"/>
          <w:lang w:val="en-US"/>
        </w:rPr>
        <w:t xml:space="preserve"> of</w:t>
      </w:r>
      <w:r w:rsidRPr="002C5D58">
        <w:rPr>
          <w:rFonts w:cs="Arial"/>
          <w:sz w:val="22"/>
          <w:szCs w:val="22"/>
          <w:u w:val="single"/>
          <w:lang w:val="en-US"/>
        </w:rPr>
        <w:t xml:space="preserve"> </w:t>
      </w:r>
      <w:r w:rsidR="00B81BC0" w:rsidRPr="002C5D58">
        <w:rPr>
          <w:rFonts w:cs="Arial"/>
          <w:sz w:val="22"/>
          <w:szCs w:val="22"/>
          <w:u w:val="single"/>
          <w:lang w:val="en-US"/>
        </w:rPr>
        <w:t>PHI</w:t>
      </w:r>
    </w:p>
    <w:p w14:paraId="1A4D7B0D" w14:textId="0B59EAF1" w:rsidR="00AC5B91" w:rsidRPr="002C5D58" w:rsidRDefault="00AC5B91"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rPr>
        <w:t xml:space="preserve">Upon termination of this </w:t>
      </w:r>
      <w:r w:rsidR="00EF10B4">
        <w:rPr>
          <w:rFonts w:cs="Arial"/>
          <w:sz w:val="22"/>
          <w:szCs w:val="22"/>
          <w:lang w:val="en-US"/>
        </w:rPr>
        <w:t>MOU</w:t>
      </w:r>
      <w:r w:rsidRPr="002C5D58">
        <w:rPr>
          <w:rFonts w:cs="Arial"/>
          <w:sz w:val="22"/>
          <w:szCs w:val="22"/>
        </w:rPr>
        <w:t xml:space="preserve">, BA </w:t>
      </w:r>
      <w:r w:rsidR="00937C72">
        <w:rPr>
          <w:rFonts w:cs="Arial"/>
          <w:sz w:val="22"/>
          <w:szCs w:val="22"/>
        </w:rPr>
        <w:t>must</w:t>
      </w:r>
      <w:r w:rsidRPr="002C5D58">
        <w:rPr>
          <w:rFonts w:cs="Arial"/>
          <w:sz w:val="22"/>
          <w:szCs w:val="22"/>
        </w:rPr>
        <w:t xml:space="preserve"> return all PHI required to be retained by the BA or its subcontractors, employees or agents on behalf of the CE.  In the event the BA determines that returning the PHI is not feasible, the B</w:t>
      </w:r>
      <w:r w:rsidR="005C06E0" w:rsidRPr="002C5D58">
        <w:rPr>
          <w:rFonts w:cs="Arial"/>
          <w:sz w:val="22"/>
          <w:szCs w:val="22"/>
          <w:lang w:val="en-US"/>
        </w:rPr>
        <w:t>A</w:t>
      </w:r>
      <w:r w:rsidRPr="002C5D58">
        <w:rPr>
          <w:rFonts w:cs="Arial"/>
          <w:sz w:val="22"/>
          <w:szCs w:val="22"/>
        </w:rPr>
        <w:t xml:space="preserve"> </w:t>
      </w:r>
      <w:r w:rsidR="00937C72">
        <w:rPr>
          <w:rFonts w:cs="Arial"/>
          <w:sz w:val="22"/>
          <w:szCs w:val="22"/>
        </w:rPr>
        <w:t>must</w:t>
      </w:r>
      <w:r w:rsidRPr="002C5D58">
        <w:rPr>
          <w:rFonts w:cs="Arial"/>
          <w:sz w:val="22"/>
          <w:szCs w:val="22"/>
        </w:rPr>
        <w:t xml:space="preserve"> provide the CE with written notification of the conditions that make return not feasible.  </w:t>
      </w:r>
      <w:r w:rsidR="00773380" w:rsidRPr="002C5D58">
        <w:rPr>
          <w:rFonts w:cs="Arial"/>
          <w:sz w:val="22"/>
          <w:szCs w:val="22"/>
          <w:lang w:val="en-US"/>
        </w:rPr>
        <w:t>Additionally, the BA must follow established policies and procedures to ensure PHI is safeguarded and disposed of adequately in accordance with 45 C</w:t>
      </w:r>
      <w:r w:rsidR="005C06E0" w:rsidRPr="002C5D58">
        <w:rPr>
          <w:rFonts w:cs="Arial"/>
          <w:sz w:val="22"/>
          <w:szCs w:val="22"/>
          <w:lang w:val="en-US"/>
        </w:rPr>
        <w:t>.</w:t>
      </w:r>
      <w:r w:rsidR="00773380" w:rsidRPr="002C5D58">
        <w:rPr>
          <w:rFonts w:cs="Arial"/>
          <w:sz w:val="22"/>
          <w:szCs w:val="22"/>
          <w:lang w:val="en-US"/>
        </w:rPr>
        <w:t>F</w:t>
      </w:r>
      <w:r w:rsidR="005C06E0" w:rsidRPr="002C5D58">
        <w:rPr>
          <w:rFonts w:cs="Arial"/>
          <w:sz w:val="22"/>
          <w:szCs w:val="22"/>
          <w:lang w:val="en-US"/>
        </w:rPr>
        <w:t>.</w:t>
      </w:r>
      <w:r w:rsidR="00773380" w:rsidRPr="002C5D58">
        <w:rPr>
          <w:rFonts w:cs="Arial"/>
          <w:sz w:val="22"/>
          <w:szCs w:val="22"/>
          <w:lang w:val="en-US"/>
        </w:rPr>
        <w:t>R</w:t>
      </w:r>
      <w:r w:rsidR="005C06E0" w:rsidRPr="002C5D58">
        <w:rPr>
          <w:rFonts w:cs="Arial"/>
          <w:sz w:val="22"/>
          <w:szCs w:val="22"/>
          <w:lang w:val="en-US"/>
        </w:rPr>
        <w:t>.</w:t>
      </w:r>
      <w:r w:rsidR="00773380" w:rsidRPr="002C5D58">
        <w:rPr>
          <w:rFonts w:cs="Arial"/>
          <w:sz w:val="22"/>
          <w:szCs w:val="22"/>
          <w:lang w:val="en-US"/>
        </w:rPr>
        <w:t xml:space="preserve"> </w:t>
      </w:r>
      <w:r w:rsidR="005C06E0" w:rsidRPr="002C5D58">
        <w:rPr>
          <w:rFonts w:cs="Arial"/>
          <w:sz w:val="22"/>
          <w:szCs w:val="22"/>
          <w:lang w:val="en-US"/>
        </w:rPr>
        <w:t>s</w:t>
      </w:r>
      <w:r w:rsidR="00773380" w:rsidRPr="002C5D58">
        <w:rPr>
          <w:rFonts w:cs="Arial"/>
          <w:sz w:val="22"/>
          <w:szCs w:val="22"/>
          <w:lang w:val="en-US"/>
        </w:rPr>
        <w:t>ection 164.310, and must submit to the CE a certification of destruction of PHI</w:t>
      </w:r>
      <w:r w:rsidR="00773380" w:rsidRPr="002C5D58">
        <w:rPr>
          <w:rFonts w:cs="Arial"/>
          <w:sz w:val="22"/>
          <w:szCs w:val="22"/>
        </w:rPr>
        <w:t>.</w:t>
      </w:r>
      <w:r w:rsidR="00773380" w:rsidRPr="002C5D58">
        <w:rPr>
          <w:rFonts w:cs="Arial"/>
          <w:sz w:val="22"/>
          <w:szCs w:val="22"/>
          <w:lang w:val="en-US"/>
        </w:rPr>
        <w:t xml:space="preserve"> For destruction of </w:t>
      </w:r>
      <w:r w:rsidR="004C3634">
        <w:rPr>
          <w:rFonts w:cs="Arial"/>
          <w:sz w:val="22"/>
          <w:szCs w:val="22"/>
          <w:lang w:val="en-US"/>
        </w:rPr>
        <w:t>e</w:t>
      </w:r>
      <w:r w:rsidR="00773380" w:rsidRPr="002C5D58">
        <w:rPr>
          <w:rFonts w:cs="Arial"/>
          <w:sz w:val="22"/>
          <w:szCs w:val="22"/>
          <w:lang w:val="en-US"/>
        </w:rPr>
        <w:t xml:space="preserve">PHI, the National Institute of Standards and Technology </w:t>
      </w:r>
      <w:r w:rsidR="005C06E0" w:rsidRPr="002C5D58">
        <w:rPr>
          <w:rFonts w:cs="Arial"/>
          <w:sz w:val="22"/>
          <w:szCs w:val="22"/>
          <w:lang w:val="en-US"/>
        </w:rPr>
        <w:t xml:space="preserve">(NIST) </w:t>
      </w:r>
      <w:r w:rsidR="00773380" w:rsidRPr="002C5D58">
        <w:rPr>
          <w:rFonts w:cs="Arial"/>
          <w:sz w:val="22"/>
          <w:szCs w:val="22"/>
          <w:lang w:val="en-US"/>
        </w:rPr>
        <w:t>guidelines must be followed.</w:t>
      </w:r>
      <w:r w:rsidR="00773380" w:rsidRPr="002C5D58">
        <w:rPr>
          <w:rFonts w:cs="Arial"/>
          <w:sz w:val="22"/>
          <w:szCs w:val="22"/>
        </w:rPr>
        <w:t xml:space="preserve">  </w:t>
      </w:r>
      <w:r w:rsidRPr="002C5D58">
        <w:rPr>
          <w:rFonts w:cs="Arial"/>
          <w:sz w:val="22"/>
          <w:szCs w:val="22"/>
        </w:rPr>
        <w:t xml:space="preserve">BA further agrees to extend any and all protections, limitations, and restrictions contained in this </w:t>
      </w:r>
      <w:r w:rsidR="00EF10B4">
        <w:rPr>
          <w:rFonts w:cs="Arial"/>
          <w:sz w:val="22"/>
          <w:szCs w:val="22"/>
          <w:lang w:val="en-US"/>
        </w:rPr>
        <w:t>MOU</w:t>
      </w:r>
      <w:r w:rsidRPr="002C5D58">
        <w:rPr>
          <w:rFonts w:cs="Arial"/>
          <w:sz w:val="22"/>
          <w:szCs w:val="22"/>
        </w:rPr>
        <w:t xml:space="preserve">, to any PHI retained by BA or its subcontractors, employees or agents after the termination of this </w:t>
      </w:r>
      <w:r w:rsidR="00EF10B4">
        <w:rPr>
          <w:rFonts w:cs="Arial"/>
          <w:sz w:val="22"/>
          <w:szCs w:val="22"/>
          <w:lang w:val="en-US"/>
        </w:rPr>
        <w:t>MOU</w:t>
      </w:r>
      <w:r w:rsidRPr="002C5D58">
        <w:rPr>
          <w:rFonts w:cs="Arial"/>
          <w:sz w:val="22"/>
          <w:szCs w:val="22"/>
        </w:rPr>
        <w:t>, and to limit any further use, access or disclosures</w:t>
      </w:r>
      <w:r w:rsidRPr="002C5D58">
        <w:rPr>
          <w:rFonts w:cs="Arial"/>
          <w:sz w:val="22"/>
          <w:szCs w:val="22"/>
          <w:lang w:val="en-US"/>
        </w:rPr>
        <w:t>.</w:t>
      </w:r>
    </w:p>
    <w:p w14:paraId="29765965" w14:textId="2F32F339" w:rsidR="00AC5B91" w:rsidRPr="002C5D58" w:rsidRDefault="00773380" w:rsidP="002C5D58">
      <w:pPr>
        <w:numPr>
          <w:ilvl w:val="1"/>
          <w:numId w:val="2"/>
        </w:numPr>
        <w:tabs>
          <w:tab w:val="left" w:pos="1440"/>
        </w:tabs>
        <w:suppressAutoHyphens/>
        <w:spacing w:after="120"/>
        <w:jc w:val="both"/>
        <w:rPr>
          <w:rFonts w:cs="Arial"/>
          <w:szCs w:val="22"/>
          <w:u w:val="single"/>
        </w:rPr>
      </w:pPr>
      <w:r w:rsidRPr="002C5D58">
        <w:rPr>
          <w:rFonts w:cs="Arial"/>
          <w:szCs w:val="22"/>
          <w:u w:val="single"/>
        </w:rPr>
        <w:t>Breach</w:t>
      </w:r>
      <w:r w:rsidR="00AC5B91" w:rsidRPr="002C5D58">
        <w:rPr>
          <w:rFonts w:cs="Arial"/>
          <w:szCs w:val="22"/>
          <w:u w:val="single"/>
        </w:rPr>
        <w:t xml:space="preserve"> by </w:t>
      </w:r>
      <w:r w:rsidRPr="002C5D58">
        <w:rPr>
          <w:rFonts w:cs="Arial"/>
          <w:szCs w:val="22"/>
          <w:u w:val="single"/>
        </w:rPr>
        <w:t xml:space="preserve">the </w:t>
      </w:r>
      <w:r w:rsidR="00AC5B91" w:rsidRPr="002C5D58">
        <w:rPr>
          <w:rFonts w:cs="Arial"/>
          <w:szCs w:val="22"/>
          <w:u w:val="single"/>
        </w:rPr>
        <w:t>CE</w:t>
      </w:r>
    </w:p>
    <w:p w14:paraId="3C504FF5" w14:textId="73FCDB51" w:rsidR="00AC5B91" w:rsidRDefault="00AC5B91"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rPr>
        <w:t xml:space="preserve">Pursuant to 42 U.S.C. </w:t>
      </w:r>
      <w:r w:rsidR="004C3634">
        <w:rPr>
          <w:rFonts w:cs="Arial"/>
          <w:sz w:val="22"/>
          <w:szCs w:val="22"/>
          <w:lang w:val="en-US"/>
        </w:rPr>
        <w:t>section</w:t>
      </w:r>
      <w:r w:rsidRPr="002C5D58">
        <w:rPr>
          <w:rFonts w:cs="Arial"/>
          <w:sz w:val="22"/>
          <w:szCs w:val="22"/>
        </w:rPr>
        <w:t xml:space="preserve"> 17934</w:t>
      </w:r>
      <w:r w:rsidR="00E257F0" w:rsidRPr="002C5D58">
        <w:rPr>
          <w:rFonts w:cs="Arial"/>
          <w:sz w:val="22"/>
          <w:szCs w:val="22"/>
          <w:lang w:val="en-US"/>
        </w:rPr>
        <w:t xml:space="preserve">, subdivision </w:t>
      </w:r>
      <w:r w:rsidRPr="002C5D58">
        <w:rPr>
          <w:rFonts w:cs="Arial"/>
          <w:sz w:val="22"/>
          <w:szCs w:val="22"/>
        </w:rPr>
        <w:t xml:space="preserve">(b), if the BA </w:t>
      </w:r>
      <w:r w:rsidR="00773380" w:rsidRPr="002C5D58">
        <w:rPr>
          <w:rFonts w:cs="Arial"/>
          <w:sz w:val="22"/>
          <w:szCs w:val="22"/>
          <w:lang w:val="en-US"/>
        </w:rPr>
        <w:t>is aware</w:t>
      </w:r>
      <w:r w:rsidR="00773380" w:rsidRPr="002C5D58">
        <w:rPr>
          <w:rFonts w:cs="Arial"/>
          <w:sz w:val="22"/>
          <w:szCs w:val="22"/>
        </w:rPr>
        <w:t xml:space="preserve"> </w:t>
      </w:r>
      <w:r w:rsidRPr="002C5D58">
        <w:rPr>
          <w:rFonts w:cs="Arial"/>
          <w:sz w:val="22"/>
          <w:szCs w:val="22"/>
        </w:rPr>
        <w:t xml:space="preserve">of </w:t>
      </w:r>
      <w:r w:rsidR="00773380" w:rsidRPr="002C5D58">
        <w:rPr>
          <w:rFonts w:cs="Arial"/>
          <w:sz w:val="22"/>
          <w:szCs w:val="22"/>
          <w:lang w:val="en-US"/>
        </w:rPr>
        <w:t>any</w:t>
      </w:r>
      <w:r w:rsidRPr="002C5D58">
        <w:rPr>
          <w:rFonts w:cs="Arial"/>
          <w:sz w:val="22"/>
          <w:szCs w:val="22"/>
        </w:rPr>
        <w:t xml:space="preserve"> activity or practice </w:t>
      </w:r>
      <w:r w:rsidR="00773380" w:rsidRPr="002C5D58">
        <w:rPr>
          <w:rFonts w:cs="Arial"/>
          <w:sz w:val="22"/>
          <w:szCs w:val="22"/>
          <w:lang w:val="en-US"/>
        </w:rPr>
        <w:t>by</w:t>
      </w:r>
      <w:r w:rsidR="00773380" w:rsidRPr="002C5D58">
        <w:rPr>
          <w:rFonts w:cs="Arial"/>
          <w:sz w:val="22"/>
          <w:szCs w:val="22"/>
        </w:rPr>
        <w:t xml:space="preserve"> </w:t>
      </w:r>
      <w:r w:rsidRPr="002C5D58">
        <w:rPr>
          <w:rFonts w:cs="Arial"/>
          <w:sz w:val="22"/>
          <w:szCs w:val="22"/>
        </w:rPr>
        <w:t xml:space="preserve">the CE that constitutes a material Breach or violation of the CE’s obligations under this </w:t>
      </w:r>
      <w:r w:rsidR="00C8797F">
        <w:rPr>
          <w:rFonts w:cs="Arial"/>
          <w:sz w:val="22"/>
          <w:szCs w:val="22"/>
          <w:lang w:val="en-US"/>
        </w:rPr>
        <w:t>MOU</w:t>
      </w:r>
      <w:r w:rsidRPr="002C5D58">
        <w:rPr>
          <w:rFonts w:cs="Arial"/>
          <w:sz w:val="22"/>
          <w:szCs w:val="22"/>
        </w:rPr>
        <w:t xml:space="preserve">, the BA must take reasonable steps to </w:t>
      </w:r>
      <w:r w:rsidR="00773380" w:rsidRPr="002C5D58">
        <w:rPr>
          <w:rFonts w:cs="Arial"/>
          <w:sz w:val="22"/>
          <w:szCs w:val="22"/>
          <w:lang w:val="en-US"/>
        </w:rPr>
        <w:t>address</w:t>
      </w:r>
      <w:r w:rsidR="00773380" w:rsidRPr="002C5D58">
        <w:rPr>
          <w:rFonts w:cs="Arial"/>
          <w:sz w:val="22"/>
          <w:szCs w:val="22"/>
        </w:rPr>
        <w:t xml:space="preserve"> </w:t>
      </w:r>
      <w:r w:rsidRPr="002C5D58">
        <w:rPr>
          <w:rFonts w:cs="Arial"/>
          <w:sz w:val="22"/>
          <w:szCs w:val="22"/>
        </w:rPr>
        <w:t xml:space="preserve">the Breach </w:t>
      </w:r>
      <w:r w:rsidR="00773380" w:rsidRPr="002C5D58">
        <w:rPr>
          <w:rFonts w:cs="Arial"/>
          <w:sz w:val="22"/>
          <w:szCs w:val="22"/>
          <w:lang w:val="en-US"/>
        </w:rPr>
        <w:t>and/</w:t>
      </w:r>
      <w:r w:rsidRPr="002C5D58">
        <w:rPr>
          <w:rFonts w:cs="Arial"/>
          <w:sz w:val="22"/>
          <w:szCs w:val="22"/>
        </w:rPr>
        <w:t xml:space="preserve">or end the </w:t>
      </w:r>
      <w:r w:rsidR="00773380" w:rsidRPr="002C5D58">
        <w:rPr>
          <w:rFonts w:cs="Arial"/>
          <w:sz w:val="22"/>
          <w:szCs w:val="22"/>
          <w:lang w:val="en-US"/>
        </w:rPr>
        <w:t xml:space="preserve">continued </w:t>
      </w:r>
      <w:r w:rsidRPr="002C5D58">
        <w:rPr>
          <w:rFonts w:cs="Arial"/>
          <w:sz w:val="22"/>
          <w:szCs w:val="22"/>
        </w:rPr>
        <w:t>violation</w:t>
      </w:r>
      <w:r w:rsidR="00773380" w:rsidRPr="002C5D58">
        <w:rPr>
          <w:rFonts w:cs="Arial"/>
          <w:sz w:val="22"/>
          <w:szCs w:val="22"/>
          <w:lang w:val="en-US"/>
        </w:rPr>
        <w:t>, if the BA has the capability of mitigating said violation</w:t>
      </w:r>
      <w:r w:rsidRPr="002C5D58">
        <w:rPr>
          <w:rFonts w:cs="Arial"/>
          <w:sz w:val="22"/>
          <w:szCs w:val="22"/>
        </w:rPr>
        <w:t xml:space="preserve">. If the </w:t>
      </w:r>
      <w:r w:rsidR="005C06E0" w:rsidRPr="002C5D58">
        <w:rPr>
          <w:rFonts w:cs="Arial"/>
          <w:sz w:val="22"/>
          <w:szCs w:val="22"/>
          <w:lang w:val="en-US"/>
        </w:rPr>
        <w:t>BA</w:t>
      </w:r>
      <w:r w:rsidRPr="002C5D58">
        <w:rPr>
          <w:rFonts w:cs="Arial"/>
          <w:sz w:val="22"/>
          <w:szCs w:val="22"/>
        </w:rPr>
        <w:t xml:space="preserve"> </w:t>
      </w:r>
      <w:r w:rsidR="00773380" w:rsidRPr="002C5D58">
        <w:rPr>
          <w:rFonts w:cs="Arial"/>
          <w:sz w:val="22"/>
          <w:szCs w:val="22"/>
          <w:lang w:val="en-US"/>
        </w:rPr>
        <w:t xml:space="preserve">is unsuccessful in eliminating the violation and the CE continues with non-compliant activity, the BA </w:t>
      </w:r>
      <w:r w:rsidRPr="002C5D58">
        <w:rPr>
          <w:rFonts w:cs="Arial"/>
          <w:sz w:val="22"/>
          <w:szCs w:val="22"/>
        </w:rPr>
        <w:t xml:space="preserve">must terminate the </w:t>
      </w:r>
      <w:r w:rsidR="00EF10B4">
        <w:rPr>
          <w:rFonts w:cs="Arial"/>
          <w:sz w:val="22"/>
          <w:szCs w:val="22"/>
          <w:lang w:val="en-US"/>
        </w:rPr>
        <w:t>MOU</w:t>
      </w:r>
      <w:r w:rsidRPr="002C5D58">
        <w:rPr>
          <w:rFonts w:cs="Arial"/>
          <w:sz w:val="22"/>
          <w:szCs w:val="22"/>
        </w:rPr>
        <w:t xml:space="preserve"> </w:t>
      </w:r>
      <w:r w:rsidR="00773380" w:rsidRPr="002C5D58">
        <w:rPr>
          <w:rFonts w:cs="Arial"/>
          <w:sz w:val="22"/>
          <w:szCs w:val="22"/>
          <w:lang w:val="en-US"/>
        </w:rPr>
        <w:t>(</w:t>
      </w:r>
      <w:r w:rsidRPr="002C5D58">
        <w:rPr>
          <w:rFonts w:cs="Arial"/>
          <w:sz w:val="22"/>
          <w:szCs w:val="22"/>
        </w:rPr>
        <w:t>if feasible</w:t>
      </w:r>
      <w:r w:rsidR="00773380" w:rsidRPr="002C5D58">
        <w:rPr>
          <w:rFonts w:cs="Arial"/>
          <w:sz w:val="22"/>
          <w:szCs w:val="22"/>
          <w:lang w:val="en-US"/>
        </w:rPr>
        <w:t>) and</w:t>
      </w:r>
      <w:r w:rsidRPr="002C5D58">
        <w:rPr>
          <w:rFonts w:cs="Arial"/>
          <w:sz w:val="22"/>
          <w:szCs w:val="22"/>
        </w:rPr>
        <w:t xml:space="preserve"> report the </w:t>
      </w:r>
      <w:r w:rsidR="00773380" w:rsidRPr="002C5D58">
        <w:rPr>
          <w:rFonts w:cs="Arial"/>
          <w:sz w:val="22"/>
          <w:szCs w:val="22"/>
          <w:lang w:val="en-US"/>
        </w:rPr>
        <w:t>violation</w:t>
      </w:r>
      <w:r w:rsidR="00773380" w:rsidRPr="002C5D58">
        <w:rPr>
          <w:rFonts w:cs="Arial"/>
          <w:sz w:val="22"/>
          <w:szCs w:val="22"/>
        </w:rPr>
        <w:t xml:space="preserve"> </w:t>
      </w:r>
      <w:r w:rsidRPr="002C5D58">
        <w:rPr>
          <w:rFonts w:cs="Arial"/>
          <w:sz w:val="22"/>
          <w:szCs w:val="22"/>
        </w:rPr>
        <w:t>to the Secretary of</w:t>
      </w:r>
      <w:r w:rsidR="005C06E0" w:rsidRPr="002C5D58">
        <w:rPr>
          <w:rFonts w:cs="Arial"/>
          <w:sz w:val="22"/>
          <w:szCs w:val="22"/>
          <w:lang w:val="en-US"/>
        </w:rPr>
        <w:t xml:space="preserve"> </w:t>
      </w:r>
      <w:r w:rsidRPr="002C5D58">
        <w:rPr>
          <w:rFonts w:cs="Arial"/>
          <w:sz w:val="22"/>
          <w:szCs w:val="22"/>
        </w:rPr>
        <w:t>HHS</w:t>
      </w:r>
      <w:r w:rsidRPr="002C5D58">
        <w:rPr>
          <w:rFonts w:cs="Arial"/>
          <w:sz w:val="22"/>
          <w:szCs w:val="22"/>
          <w:lang w:val="en-US"/>
        </w:rPr>
        <w:t>.</w:t>
      </w:r>
    </w:p>
    <w:p w14:paraId="6ACA13BC" w14:textId="6CB51F33" w:rsidR="00EC24C1" w:rsidRDefault="00EC24C1" w:rsidP="002C5D58">
      <w:pPr>
        <w:pStyle w:val="Header"/>
        <w:tabs>
          <w:tab w:val="clear" w:pos="4320"/>
          <w:tab w:val="clear" w:pos="8640"/>
        </w:tabs>
        <w:spacing w:after="120"/>
        <w:ind w:left="900"/>
        <w:jc w:val="both"/>
        <w:rPr>
          <w:rFonts w:cs="Arial"/>
          <w:sz w:val="22"/>
          <w:szCs w:val="22"/>
          <w:lang w:val="en-US"/>
        </w:rPr>
      </w:pPr>
    </w:p>
    <w:p w14:paraId="00E7401C" w14:textId="77777777" w:rsidR="00E257F0" w:rsidRPr="002C5D58" w:rsidRDefault="00E257F0" w:rsidP="00E257F0">
      <w:pPr>
        <w:numPr>
          <w:ilvl w:val="1"/>
          <w:numId w:val="2"/>
        </w:numPr>
        <w:suppressAutoHyphens/>
        <w:spacing w:after="120"/>
        <w:jc w:val="both"/>
        <w:rPr>
          <w:rFonts w:cs="Arial"/>
          <w:szCs w:val="22"/>
        </w:rPr>
      </w:pPr>
      <w:r w:rsidRPr="002C5D58">
        <w:rPr>
          <w:rFonts w:cs="Arial"/>
          <w:szCs w:val="22"/>
          <w:u w:val="single"/>
        </w:rPr>
        <w:t>Mitigation</w:t>
      </w:r>
      <w:r w:rsidRPr="002C5D58">
        <w:rPr>
          <w:rFonts w:cs="Arial"/>
          <w:szCs w:val="22"/>
        </w:rPr>
        <w:t xml:space="preserve"> </w:t>
      </w:r>
    </w:p>
    <w:p w14:paraId="429317A3" w14:textId="14818D89" w:rsidR="00E257F0" w:rsidRPr="002C5D58" w:rsidRDefault="00E257F0" w:rsidP="00E257F0">
      <w:pPr>
        <w:pStyle w:val="Header"/>
        <w:tabs>
          <w:tab w:val="clear" w:pos="4320"/>
          <w:tab w:val="clear" w:pos="8640"/>
        </w:tabs>
        <w:spacing w:after="120"/>
        <w:ind w:left="900"/>
        <w:jc w:val="both"/>
        <w:rPr>
          <w:rFonts w:cs="Arial"/>
          <w:sz w:val="22"/>
          <w:szCs w:val="22"/>
        </w:rPr>
      </w:pPr>
      <w:r w:rsidRPr="002C5D58">
        <w:rPr>
          <w:rFonts w:cs="Arial"/>
          <w:sz w:val="22"/>
          <w:szCs w:val="22"/>
        </w:rPr>
        <w:t xml:space="preserve">BA </w:t>
      </w:r>
      <w:r w:rsidR="00937C72">
        <w:rPr>
          <w:rFonts w:cs="Arial"/>
          <w:sz w:val="22"/>
          <w:szCs w:val="22"/>
        </w:rPr>
        <w:t>must</w:t>
      </w:r>
      <w:r w:rsidRPr="002C5D58">
        <w:rPr>
          <w:rFonts w:cs="Arial"/>
          <w:sz w:val="22"/>
          <w:szCs w:val="22"/>
        </w:rPr>
        <w:t xml:space="preserve"> have procedures in place to mitigate, to the extent practicable, any harmful effect that is known to BA of a use, access or disclosure of PHI by BA, its agents or subcontractors in violation of the requirements of this </w:t>
      </w:r>
      <w:r w:rsidR="008C1BA8">
        <w:rPr>
          <w:rFonts w:cs="Arial"/>
          <w:sz w:val="22"/>
          <w:szCs w:val="22"/>
          <w:lang w:val="en-US"/>
        </w:rPr>
        <w:t>MOU</w:t>
      </w:r>
      <w:r w:rsidRPr="002C5D58">
        <w:rPr>
          <w:rFonts w:cs="Arial"/>
          <w:sz w:val="22"/>
          <w:szCs w:val="22"/>
          <w:lang w:val="en-US"/>
        </w:rPr>
        <w:t>.</w:t>
      </w:r>
    </w:p>
    <w:p w14:paraId="701842CB" w14:textId="77777777" w:rsidR="00AC5B91" w:rsidRPr="00C118E8" w:rsidRDefault="00AC5B91" w:rsidP="002C5D58">
      <w:pPr>
        <w:pStyle w:val="Header"/>
        <w:numPr>
          <w:ilvl w:val="1"/>
          <w:numId w:val="2"/>
        </w:numPr>
        <w:tabs>
          <w:tab w:val="clear" w:pos="4320"/>
          <w:tab w:val="clear" w:pos="8640"/>
        </w:tabs>
        <w:spacing w:after="120"/>
        <w:jc w:val="both"/>
        <w:rPr>
          <w:rFonts w:cs="Arial"/>
          <w:sz w:val="22"/>
          <w:szCs w:val="22"/>
          <w:u w:val="single"/>
        </w:rPr>
      </w:pPr>
      <w:r w:rsidRPr="00C118E8">
        <w:rPr>
          <w:rFonts w:cs="Arial"/>
          <w:sz w:val="22"/>
          <w:szCs w:val="22"/>
          <w:u w:val="single"/>
        </w:rPr>
        <w:t>Costs Associated to Breac</w:t>
      </w:r>
      <w:r w:rsidRPr="00C118E8">
        <w:rPr>
          <w:rFonts w:cs="Arial"/>
          <w:sz w:val="22"/>
          <w:szCs w:val="22"/>
          <w:u w:val="single"/>
          <w:lang w:val="en-US"/>
        </w:rPr>
        <w:t>h</w:t>
      </w:r>
    </w:p>
    <w:p w14:paraId="6DC748F3" w14:textId="0B901D8C" w:rsidR="00AC5B91" w:rsidRPr="00C118E8" w:rsidRDefault="00AC5B91" w:rsidP="002C5D58">
      <w:pPr>
        <w:pStyle w:val="Header"/>
        <w:tabs>
          <w:tab w:val="clear" w:pos="4320"/>
          <w:tab w:val="clear" w:pos="8640"/>
        </w:tabs>
        <w:spacing w:after="120"/>
        <w:ind w:left="900"/>
        <w:jc w:val="both"/>
        <w:rPr>
          <w:rFonts w:cs="Arial"/>
          <w:sz w:val="22"/>
          <w:szCs w:val="22"/>
        </w:rPr>
      </w:pPr>
      <w:r w:rsidRPr="00C118E8">
        <w:rPr>
          <w:rFonts w:cs="Arial"/>
          <w:sz w:val="22"/>
          <w:szCs w:val="22"/>
        </w:rPr>
        <w:t xml:space="preserve">BA shall be responsible for reasonable costs associated with a Breach.  Costs shall be based upon the required notification type as deemed appropriate and necessary by the CE and shall not be reimbursable under the </w:t>
      </w:r>
      <w:r w:rsidR="008C1BA8" w:rsidRPr="00C118E8">
        <w:rPr>
          <w:rFonts w:cs="Arial"/>
          <w:sz w:val="22"/>
          <w:szCs w:val="22"/>
          <w:lang w:val="en-US"/>
        </w:rPr>
        <w:t>MOU</w:t>
      </w:r>
      <w:r w:rsidRPr="00C118E8">
        <w:rPr>
          <w:rFonts w:cs="Arial"/>
          <w:sz w:val="22"/>
          <w:szCs w:val="22"/>
        </w:rPr>
        <w:t xml:space="preserve"> at any time.  CE shall determine the method to invoice the BA for said costs.  Costs shall incur at the current rates and may include, but are not limited to the following</w:t>
      </w:r>
      <w:r w:rsidRPr="00C118E8">
        <w:rPr>
          <w:rFonts w:cs="Arial"/>
          <w:sz w:val="22"/>
          <w:szCs w:val="22"/>
          <w:lang w:val="en-US"/>
        </w:rPr>
        <w:t>:</w:t>
      </w:r>
    </w:p>
    <w:p w14:paraId="11467F00" w14:textId="77777777" w:rsidR="00AC5B91" w:rsidRPr="00C118E8" w:rsidRDefault="00AC5B91" w:rsidP="002C5D58">
      <w:pPr>
        <w:pStyle w:val="Header"/>
        <w:numPr>
          <w:ilvl w:val="2"/>
          <w:numId w:val="9"/>
        </w:numPr>
        <w:tabs>
          <w:tab w:val="clear" w:pos="4320"/>
          <w:tab w:val="clear" w:pos="8640"/>
        </w:tabs>
        <w:spacing w:after="120"/>
        <w:ind w:left="1440"/>
        <w:jc w:val="both"/>
        <w:rPr>
          <w:rFonts w:cs="Arial"/>
          <w:sz w:val="22"/>
          <w:szCs w:val="22"/>
        </w:rPr>
      </w:pPr>
      <w:r w:rsidRPr="00C118E8">
        <w:rPr>
          <w:rFonts w:cs="Arial"/>
          <w:sz w:val="22"/>
          <w:szCs w:val="22"/>
          <w:lang w:val="en-US"/>
        </w:rPr>
        <w:t>Postage;</w:t>
      </w:r>
    </w:p>
    <w:p w14:paraId="5882EC0E" w14:textId="77777777" w:rsidR="00AC5B91" w:rsidRPr="00C118E8" w:rsidRDefault="00AC5B91" w:rsidP="002C5D58">
      <w:pPr>
        <w:pStyle w:val="Header"/>
        <w:numPr>
          <w:ilvl w:val="2"/>
          <w:numId w:val="9"/>
        </w:numPr>
        <w:tabs>
          <w:tab w:val="clear" w:pos="4320"/>
          <w:tab w:val="clear" w:pos="8640"/>
        </w:tabs>
        <w:spacing w:after="120"/>
        <w:ind w:left="1440"/>
        <w:jc w:val="both"/>
        <w:rPr>
          <w:rFonts w:cs="Arial"/>
          <w:sz w:val="22"/>
          <w:szCs w:val="22"/>
        </w:rPr>
      </w:pPr>
      <w:r w:rsidRPr="00C118E8">
        <w:rPr>
          <w:rFonts w:cs="Arial"/>
          <w:sz w:val="22"/>
          <w:szCs w:val="22"/>
          <w:lang w:val="en-US"/>
        </w:rPr>
        <w:t>Alternative means of notice;</w:t>
      </w:r>
    </w:p>
    <w:p w14:paraId="31A6B2BF" w14:textId="77777777" w:rsidR="00AC5B91" w:rsidRPr="00C118E8" w:rsidRDefault="00AC5B91" w:rsidP="002C5D58">
      <w:pPr>
        <w:pStyle w:val="Header"/>
        <w:numPr>
          <w:ilvl w:val="2"/>
          <w:numId w:val="9"/>
        </w:numPr>
        <w:tabs>
          <w:tab w:val="clear" w:pos="4320"/>
          <w:tab w:val="clear" w:pos="8640"/>
        </w:tabs>
        <w:spacing w:after="120"/>
        <w:ind w:left="1440"/>
        <w:jc w:val="both"/>
        <w:rPr>
          <w:rFonts w:cs="Arial"/>
          <w:sz w:val="22"/>
          <w:szCs w:val="22"/>
        </w:rPr>
      </w:pPr>
      <w:r w:rsidRPr="00C118E8">
        <w:rPr>
          <w:rFonts w:cs="Arial"/>
          <w:sz w:val="22"/>
          <w:szCs w:val="22"/>
          <w:lang w:val="en-US"/>
        </w:rPr>
        <w:t>Media notification; and</w:t>
      </w:r>
    </w:p>
    <w:p w14:paraId="6324252C" w14:textId="77777777" w:rsidR="00AC5B91" w:rsidRPr="00C118E8" w:rsidRDefault="00AC5B91" w:rsidP="002C5D58">
      <w:pPr>
        <w:pStyle w:val="Header"/>
        <w:numPr>
          <w:ilvl w:val="2"/>
          <w:numId w:val="9"/>
        </w:numPr>
        <w:tabs>
          <w:tab w:val="clear" w:pos="4320"/>
          <w:tab w:val="clear" w:pos="8640"/>
        </w:tabs>
        <w:spacing w:after="120"/>
        <w:ind w:left="1440"/>
        <w:jc w:val="both"/>
        <w:rPr>
          <w:rFonts w:cs="Arial"/>
          <w:sz w:val="22"/>
          <w:szCs w:val="22"/>
        </w:rPr>
      </w:pPr>
      <w:r w:rsidRPr="00C118E8">
        <w:rPr>
          <w:rFonts w:cs="Arial"/>
          <w:sz w:val="22"/>
          <w:szCs w:val="22"/>
          <w:lang w:val="en-US"/>
        </w:rPr>
        <w:t xml:space="preserve">Credit monitoring services. </w:t>
      </w:r>
    </w:p>
    <w:p w14:paraId="7CB2F660" w14:textId="77777777" w:rsidR="00AC5B91" w:rsidRPr="00C118E8" w:rsidRDefault="00AC5B91" w:rsidP="002C5D58">
      <w:pPr>
        <w:pStyle w:val="Header"/>
        <w:numPr>
          <w:ilvl w:val="1"/>
          <w:numId w:val="2"/>
        </w:numPr>
        <w:tabs>
          <w:tab w:val="clear" w:pos="4320"/>
          <w:tab w:val="clear" w:pos="8640"/>
        </w:tabs>
        <w:spacing w:after="120"/>
        <w:jc w:val="both"/>
        <w:rPr>
          <w:rFonts w:cs="Arial"/>
          <w:sz w:val="22"/>
          <w:szCs w:val="22"/>
          <w:u w:val="single"/>
        </w:rPr>
      </w:pPr>
      <w:r w:rsidRPr="00C118E8">
        <w:rPr>
          <w:rFonts w:cs="Arial"/>
          <w:sz w:val="22"/>
          <w:szCs w:val="22"/>
          <w:u w:val="single"/>
          <w:lang w:val="en-US"/>
        </w:rPr>
        <w:t>Direct Liability</w:t>
      </w:r>
    </w:p>
    <w:p w14:paraId="78A2C891" w14:textId="7E7FF063" w:rsidR="00AC5B91" w:rsidRDefault="00AC5B91" w:rsidP="002C5D58">
      <w:pPr>
        <w:pStyle w:val="Header"/>
        <w:tabs>
          <w:tab w:val="clear" w:pos="4320"/>
          <w:tab w:val="clear" w:pos="8640"/>
        </w:tabs>
        <w:spacing w:after="120"/>
        <w:ind w:left="900"/>
        <w:jc w:val="both"/>
        <w:rPr>
          <w:rFonts w:cs="Arial"/>
          <w:bCs/>
          <w:sz w:val="22"/>
          <w:szCs w:val="22"/>
          <w:lang w:val="en-US"/>
        </w:rPr>
      </w:pPr>
      <w:r w:rsidRPr="00C118E8">
        <w:rPr>
          <w:rFonts w:cs="Arial"/>
          <w:bCs/>
          <w:sz w:val="22"/>
          <w:szCs w:val="22"/>
        </w:rPr>
        <w:t xml:space="preserve">BA may be held directly liable under HIPAA for impermissible uses and disclosures of PHI; failure to provide breach notification to CE; failure to provide access to a copy of </w:t>
      </w:r>
      <w:r w:rsidR="007B42F4" w:rsidRPr="00C118E8">
        <w:rPr>
          <w:rFonts w:cs="Arial"/>
          <w:bCs/>
          <w:sz w:val="22"/>
          <w:szCs w:val="22"/>
          <w:lang w:val="en-US"/>
        </w:rPr>
        <w:t>e</w:t>
      </w:r>
      <w:r w:rsidRPr="00C118E8">
        <w:rPr>
          <w:rFonts w:cs="Arial"/>
          <w:bCs/>
          <w:sz w:val="22"/>
          <w:szCs w:val="22"/>
        </w:rPr>
        <w:t xml:space="preserve">PHI to </w:t>
      </w:r>
      <w:r w:rsidR="00D23389" w:rsidRPr="00C118E8">
        <w:rPr>
          <w:rFonts w:cs="Arial"/>
          <w:bCs/>
          <w:sz w:val="22"/>
          <w:szCs w:val="22"/>
        </w:rPr>
        <w:t>CE</w:t>
      </w:r>
      <w:r w:rsidRPr="00C118E8">
        <w:rPr>
          <w:rFonts w:cs="Arial"/>
          <w:bCs/>
          <w:sz w:val="22"/>
          <w:szCs w:val="22"/>
        </w:rPr>
        <w:t xml:space="preserve"> or individual; failure to disclose PHI to the Secretary of </w:t>
      </w:r>
      <w:r w:rsidR="007B42F4" w:rsidRPr="00C118E8">
        <w:rPr>
          <w:rFonts w:cs="Arial"/>
          <w:bCs/>
          <w:sz w:val="22"/>
          <w:szCs w:val="22"/>
          <w:lang w:val="en-US"/>
        </w:rPr>
        <w:t>HHS</w:t>
      </w:r>
      <w:r w:rsidRPr="00C118E8">
        <w:rPr>
          <w:rFonts w:cs="Arial"/>
          <w:bCs/>
          <w:sz w:val="22"/>
          <w:szCs w:val="22"/>
        </w:rPr>
        <w:t xml:space="preserve"> when investigating BA’s compliance with HIPAA; failure to provide an accounting of disclosures</w:t>
      </w:r>
      <w:r w:rsidR="003A5740" w:rsidRPr="00C118E8">
        <w:rPr>
          <w:rFonts w:cs="Arial"/>
          <w:bCs/>
          <w:sz w:val="22"/>
          <w:szCs w:val="22"/>
          <w:lang w:val="en-US"/>
        </w:rPr>
        <w:t>;</w:t>
      </w:r>
      <w:r w:rsidRPr="00C118E8">
        <w:rPr>
          <w:rFonts w:cs="Arial"/>
          <w:bCs/>
          <w:sz w:val="22"/>
          <w:szCs w:val="22"/>
        </w:rPr>
        <w:t xml:space="preserve"> and</w:t>
      </w:r>
      <w:r w:rsidR="003A5740" w:rsidRPr="00C118E8">
        <w:rPr>
          <w:rFonts w:cs="Arial"/>
          <w:bCs/>
          <w:sz w:val="22"/>
          <w:szCs w:val="22"/>
          <w:lang w:val="en-US"/>
        </w:rPr>
        <w:t>,</w:t>
      </w:r>
      <w:r w:rsidRPr="00C118E8">
        <w:rPr>
          <w:rFonts w:cs="Arial"/>
          <w:bCs/>
          <w:sz w:val="22"/>
          <w:szCs w:val="22"/>
        </w:rPr>
        <w:t xml:space="preserve"> failure to enter into a business associate agreement with subcontractors</w:t>
      </w:r>
      <w:r w:rsidRPr="00C118E8">
        <w:rPr>
          <w:rFonts w:cs="Arial"/>
          <w:bCs/>
          <w:sz w:val="22"/>
          <w:szCs w:val="22"/>
          <w:lang w:val="en-US"/>
        </w:rPr>
        <w:t>.</w:t>
      </w:r>
    </w:p>
    <w:p w14:paraId="7D5E9093" w14:textId="77777777" w:rsidR="00222062" w:rsidRPr="00C118E8" w:rsidRDefault="007B453B" w:rsidP="002C5D58">
      <w:pPr>
        <w:pStyle w:val="Header"/>
        <w:numPr>
          <w:ilvl w:val="1"/>
          <w:numId w:val="2"/>
        </w:numPr>
        <w:tabs>
          <w:tab w:val="clear" w:pos="4320"/>
          <w:tab w:val="clear" w:pos="8640"/>
        </w:tabs>
        <w:spacing w:after="120"/>
        <w:jc w:val="both"/>
        <w:rPr>
          <w:rFonts w:cs="Arial"/>
          <w:sz w:val="22"/>
          <w:szCs w:val="22"/>
          <w:lang w:val="en-US"/>
        </w:rPr>
      </w:pPr>
      <w:r w:rsidRPr="00C118E8">
        <w:rPr>
          <w:rFonts w:cs="Arial"/>
          <w:sz w:val="22"/>
          <w:szCs w:val="22"/>
          <w:u w:val="single"/>
          <w:lang w:val="en-US"/>
        </w:rPr>
        <w:t>Assistance in Litigation or Administrative Proceedings</w:t>
      </w:r>
      <w:r w:rsidRPr="00C118E8">
        <w:rPr>
          <w:rFonts w:cs="Arial"/>
          <w:sz w:val="22"/>
          <w:szCs w:val="22"/>
          <w:lang w:val="en-US"/>
        </w:rPr>
        <w:t xml:space="preserve">  </w:t>
      </w:r>
    </w:p>
    <w:p w14:paraId="2D403127" w14:textId="46769D46" w:rsidR="007B453B" w:rsidRDefault="007B453B" w:rsidP="002C5D58">
      <w:pPr>
        <w:pStyle w:val="Header"/>
        <w:tabs>
          <w:tab w:val="clear" w:pos="4320"/>
          <w:tab w:val="clear" w:pos="8640"/>
        </w:tabs>
        <w:spacing w:after="120"/>
        <w:ind w:left="900"/>
        <w:jc w:val="both"/>
        <w:rPr>
          <w:rFonts w:cs="Arial"/>
          <w:sz w:val="22"/>
          <w:szCs w:val="22"/>
          <w:lang w:val="en-US"/>
        </w:rPr>
      </w:pPr>
      <w:r w:rsidRPr="00C118E8">
        <w:rPr>
          <w:rFonts w:cs="Arial"/>
          <w:sz w:val="22"/>
          <w:szCs w:val="22"/>
          <w:lang w:val="en-US"/>
        </w:rPr>
        <w:t xml:space="preserve">BA </w:t>
      </w:r>
      <w:r w:rsidR="00937C72">
        <w:rPr>
          <w:rFonts w:cs="Arial"/>
          <w:sz w:val="22"/>
          <w:szCs w:val="22"/>
          <w:lang w:val="en-US"/>
        </w:rPr>
        <w:t>must</w:t>
      </w:r>
      <w:r w:rsidRPr="00C118E8">
        <w:rPr>
          <w:rFonts w:cs="Arial"/>
          <w:sz w:val="22"/>
          <w:szCs w:val="22"/>
          <w:lang w:val="en-US"/>
        </w:rPr>
        <w:t xml:space="preserve"> make itself, and any subcontractors, employees, or agents assisting BA in the performanc</w:t>
      </w:r>
      <w:r w:rsidR="00CA3C76" w:rsidRPr="00C118E8">
        <w:rPr>
          <w:rFonts w:cs="Arial"/>
          <w:sz w:val="22"/>
          <w:szCs w:val="22"/>
          <w:lang w:val="en-US"/>
        </w:rPr>
        <w:t xml:space="preserve">e of its obligations under the </w:t>
      </w:r>
      <w:r w:rsidR="00C8797F">
        <w:rPr>
          <w:rFonts w:cs="Arial"/>
          <w:sz w:val="22"/>
          <w:szCs w:val="22"/>
          <w:lang w:val="en-US"/>
        </w:rPr>
        <w:t>MOU</w:t>
      </w:r>
      <w:r w:rsidRPr="00C118E8">
        <w:rPr>
          <w:rFonts w:cs="Arial"/>
          <w:sz w:val="22"/>
          <w:szCs w:val="22"/>
          <w:lang w:val="en-US"/>
        </w:rPr>
        <w:t xml:space="preserve">, available to </w:t>
      </w:r>
      <w:r w:rsidR="00D23389" w:rsidRPr="00C118E8">
        <w:rPr>
          <w:rFonts w:cs="Arial"/>
          <w:sz w:val="22"/>
          <w:szCs w:val="22"/>
          <w:lang w:val="en-US"/>
        </w:rPr>
        <w:t>CE</w:t>
      </w:r>
      <w:r w:rsidRPr="00C118E8">
        <w:rPr>
          <w:rFonts w:cs="Arial"/>
          <w:sz w:val="22"/>
          <w:szCs w:val="22"/>
          <w:lang w:val="en-US"/>
        </w:rPr>
        <w:t xml:space="preserve">, at no cost to </w:t>
      </w:r>
      <w:r w:rsidR="00D23389" w:rsidRPr="00C118E8">
        <w:rPr>
          <w:rFonts w:cs="Arial"/>
          <w:sz w:val="22"/>
          <w:szCs w:val="22"/>
          <w:lang w:val="en-US"/>
        </w:rPr>
        <w:t>CE</w:t>
      </w:r>
      <w:r w:rsidRPr="00C118E8">
        <w:rPr>
          <w:rFonts w:cs="Arial"/>
          <w:sz w:val="22"/>
          <w:szCs w:val="22"/>
          <w:lang w:val="en-US"/>
        </w:rPr>
        <w:t xml:space="preserve">, to testify as witnesses, or otherwise, in the event of litigation or administrative proceedings being commenced against </w:t>
      </w:r>
      <w:r w:rsidR="00D23389" w:rsidRPr="00C118E8">
        <w:rPr>
          <w:rFonts w:cs="Arial"/>
          <w:sz w:val="22"/>
          <w:szCs w:val="22"/>
          <w:lang w:val="en-US"/>
        </w:rPr>
        <w:t>CE</w:t>
      </w:r>
      <w:r w:rsidRPr="00C118E8">
        <w:rPr>
          <w:rFonts w:cs="Arial"/>
          <w:sz w:val="22"/>
          <w:szCs w:val="22"/>
          <w:lang w:val="en-US"/>
        </w:rPr>
        <w:t xml:space="preserve">, its directors, officers, or employees based upon a claimed violation of HIPAA, the HITECH Act, the Privacy Rule, the Security Rule, or other laws relating to security and privacy, except where </w:t>
      </w:r>
      <w:r w:rsidR="003A5740" w:rsidRPr="00C118E8">
        <w:rPr>
          <w:rFonts w:cs="Arial"/>
          <w:sz w:val="22"/>
          <w:szCs w:val="22"/>
          <w:lang w:val="en-US"/>
        </w:rPr>
        <w:t>B</w:t>
      </w:r>
      <w:r w:rsidR="00CA3C76" w:rsidRPr="00C118E8">
        <w:rPr>
          <w:rFonts w:cs="Arial"/>
          <w:sz w:val="22"/>
          <w:szCs w:val="22"/>
          <w:lang w:val="en-US"/>
        </w:rPr>
        <w:t>A</w:t>
      </w:r>
      <w:r w:rsidRPr="00C118E8">
        <w:rPr>
          <w:rFonts w:cs="Arial"/>
          <w:sz w:val="22"/>
          <w:szCs w:val="22"/>
          <w:lang w:val="en-US"/>
        </w:rPr>
        <w:t xml:space="preserve"> or its subcontractor, employee or agent is a named adverse party.</w:t>
      </w:r>
    </w:p>
    <w:p w14:paraId="78E74B08" w14:textId="25FEAFB9" w:rsidR="00AA2FF5" w:rsidRDefault="00AA2FF5" w:rsidP="00AA2FF5">
      <w:pPr>
        <w:pStyle w:val="Header"/>
        <w:numPr>
          <w:ilvl w:val="1"/>
          <w:numId w:val="2"/>
        </w:numPr>
        <w:tabs>
          <w:tab w:val="clear" w:pos="4320"/>
          <w:tab w:val="clear" w:pos="8640"/>
        </w:tabs>
        <w:spacing w:after="120"/>
        <w:jc w:val="both"/>
        <w:rPr>
          <w:rFonts w:cs="Arial"/>
          <w:sz w:val="22"/>
          <w:szCs w:val="22"/>
          <w:lang w:val="en-US"/>
        </w:rPr>
      </w:pPr>
      <w:r w:rsidRPr="0050094A">
        <w:rPr>
          <w:rFonts w:cs="Arial"/>
          <w:i/>
          <w:sz w:val="22"/>
          <w:szCs w:val="22"/>
          <w:highlight w:val="yellow"/>
          <w:lang w:val="en-US"/>
        </w:rPr>
        <w:t>*If applicable</w:t>
      </w:r>
      <w:r w:rsidRPr="00AA2FF5">
        <w:rPr>
          <w:rFonts w:cs="Arial"/>
          <w:i/>
          <w:sz w:val="22"/>
          <w:szCs w:val="22"/>
          <w:lang w:val="en-US"/>
        </w:rPr>
        <w:t xml:space="preserve"> </w:t>
      </w:r>
      <w:r>
        <w:rPr>
          <w:rFonts w:cs="Arial"/>
          <w:sz w:val="22"/>
          <w:szCs w:val="22"/>
          <w:u w:val="single"/>
          <w:lang w:val="en-US"/>
        </w:rPr>
        <w:t>BA Staff at CE Facilities/Locations</w:t>
      </w:r>
    </w:p>
    <w:p w14:paraId="77CF535C" w14:textId="3F6974D5" w:rsidR="00AA2FF5" w:rsidRPr="002C5D58" w:rsidRDefault="00AA2FF5" w:rsidP="00AA2FF5">
      <w:pPr>
        <w:pStyle w:val="Header"/>
        <w:tabs>
          <w:tab w:val="clear" w:pos="4320"/>
          <w:tab w:val="clear" w:pos="8640"/>
        </w:tabs>
        <w:spacing w:after="120"/>
        <w:ind w:left="900"/>
        <w:jc w:val="both"/>
        <w:rPr>
          <w:rFonts w:cs="Arial"/>
          <w:sz w:val="22"/>
          <w:szCs w:val="22"/>
          <w:lang w:val="en-US"/>
        </w:rPr>
      </w:pPr>
      <w:r>
        <w:rPr>
          <w:rFonts w:cs="Arial"/>
          <w:sz w:val="22"/>
          <w:szCs w:val="22"/>
          <w:lang w:val="en-US"/>
        </w:rPr>
        <w:t xml:space="preserve">BA staff that are located on-site or are provided access to a CE facility or location </w:t>
      </w:r>
      <w:r w:rsidR="00937C72">
        <w:rPr>
          <w:rFonts w:cs="Arial"/>
          <w:sz w:val="22"/>
          <w:szCs w:val="22"/>
          <w:lang w:val="en-US"/>
        </w:rPr>
        <w:t>must</w:t>
      </w:r>
      <w:r>
        <w:rPr>
          <w:rFonts w:cs="Arial"/>
          <w:sz w:val="22"/>
          <w:szCs w:val="22"/>
          <w:lang w:val="en-US"/>
        </w:rPr>
        <w:t xml:space="preserve"> complete all training, policy review, and comply with CE </w:t>
      </w:r>
      <w:r w:rsidR="00C53C5A">
        <w:rPr>
          <w:rFonts w:cs="Arial"/>
          <w:sz w:val="22"/>
          <w:szCs w:val="22"/>
          <w:lang w:val="en-US"/>
        </w:rPr>
        <w:t xml:space="preserve">policies and </w:t>
      </w:r>
      <w:r>
        <w:rPr>
          <w:rFonts w:cs="Arial"/>
          <w:sz w:val="22"/>
          <w:szCs w:val="22"/>
          <w:lang w:val="en-US"/>
        </w:rPr>
        <w:t xml:space="preserve">procedures at the discretion of the CE. </w:t>
      </w:r>
    </w:p>
    <w:p w14:paraId="12AA6443" w14:textId="09CF41EE" w:rsidR="00AC5B91" w:rsidRPr="002C5D58" w:rsidRDefault="00AC5B91" w:rsidP="002C5D58">
      <w:pPr>
        <w:pStyle w:val="Header"/>
        <w:numPr>
          <w:ilvl w:val="0"/>
          <w:numId w:val="2"/>
        </w:numPr>
        <w:tabs>
          <w:tab w:val="clear" w:pos="4320"/>
          <w:tab w:val="clear" w:pos="8640"/>
        </w:tabs>
        <w:spacing w:after="120"/>
        <w:ind w:hanging="720"/>
        <w:jc w:val="both"/>
        <w:rPr>
          <w:rFonts w:cs="Arial"/>
          <w:b/>
          <w:sz w:val="22"/>
          <w:szCs w:val="22"/>
        </w:rPr>
      </w:pPr>
      <w:r w:rsidRPr="002C5D58">
        <w:rPr>
          <w:rFonts w:cs="Arial"/>
          <w:b/>
          <w:bCs/>
          <w:sz w:val="22"/>
          <w:szCs w:val="22"/>
        </w:rPr>
        <w:t xml:space="preserve">Obligations of </w:t>
      </w:r>
      <w:r w:rsidR="00D23389" w:rsidRPr="002C5D58">
        <w:rPr>
          <w:rFonts w:cs="Arial"/>
          <w:b/>
          <w:bCs/>
          <w:sz w:val="22"/>
          <w:szCs w:val="22"/>
        </w:rPr>
        <w:t>CE</w:t>
      </w:r>
    </w:p>
    <w:p w14:paraId="2DD50F92" w14:textId="7CDD46EC" w:rsidR="0034262C" w:rsidRPr="002C5D58" w:rsidRDefault="00D23389" w:rsidP="002C5D58">
      <w:pPr>
        <w:pStyle w:val="Header"/>
        <w:numPr>
          <w:ilvl w:val="1"/>
          <w:numId w:val="2"/>
        </w:numPr>
        <w:tabs>
          <w:tab w:val="clear" w:pos="4320"/>
          <w:tab w:val="clear" w:pos="8640"/>
        </w:tabs>
        <w:spacing w:after="120"/>
        <w:jc w:val="both"/>
        <w:rPr>
          <w:rFonts w:cs="Arial"/>
          <w:sz w:val="22"/>
          <w:szCs w:val="22"/>
        </w:rPr>
      </w:pPr>
      <w:r w:rsidRPr="002C5D58">
        <w:rPr>
          <w:rFonts w:cs="Arial"/>
          <w:sz w:val="22"/>
          <w:szCs w:val="22"/>
        </w:rPr>
        <w:t>CE</w:t>
      </w:r>
      <w:r w:rsidR="00AC5B91" w:rsidRPr="002C5D58">
        <w:rPr>
          <w:rFonts w:cs="Arial"/>
          <w:sz w:val="22"/>
          <w:szCs w:val="22"/>
        </w:rPr>
        <w:t xml:space="preserve"> shall notify BA of</w:t>
      </w:r>
      <w:r w:rsidR="0034262C" w:rsidRPr="002C5D58">
        <w:rPr>
          <w:rFonts w:cs="Arial"/>
          <w:sz w:val="22"/>
          <w:szCs w:val="22"/>
          <w:lang w:val="en-US"/>
        </w:rPr>
        <w:t xml:space="preserve"> any of the following, to th</w:t>
      </w:r>
      <w:r w:rsidR="003A5740" w:rsidRPr="002C5D58">
        <w:rPr>
          <w:rFonts w:cs="Arial"/>
          <w:sz w:val="22"/>
          <w:szCs w:val="22"/>
          <w:lang w:val="en-US"/>
        </w:rPr>
        <w:t>e extent that such may affect B</w:t>
      </w:r>
      <w:r w:rsidR="0034262C" w:rsidRPr="002C5D58">
        <w:rPr>
          <w:rFonts w:cs="Arial"/>
          <w:sz w:val="22"/>
          <w:szCs w:val="22"/>
          <w:lang w:val="en-US"/>
        </w:rPr>
        <w:t>A’s use, access, maintenance or disclosure of PHI:</w:t>
      </w:r>
      <w:r w:rsidR="00AC5B91" w:rsidRPr="002C5D58">
        <w:rPr>
          <w:rFonts w:cs="Arial"/>
          <w:sz w:val="22"/>
          <w:szCs w:val="22"/>
        </w:rPr>
        <w:t xml:space="preserve"> </w:t>
      </w:r>
    </w:p>
    <w:p w14:paraId="61C3147A" w14:textId="2572AF22" w:rsidR="00AC5B91" w:rsidRPr="002C5D58" w:rsidRDefault="00CA3C76" w:rsidP="002C5D58">
      <w:pPr>
        <w:pStyle w:val="Header"/>
        <w:numPr>
          <w:ilvl w:val="2"/>
          <w:numId w:val="2"/>
        </w:numPr>
        <w:tabs>
          <w:tab w:val="clear" w:pos="4320"/>
          <w:tab w:val="clear" w:pos="8640"/>
        </w:tabs>
        <w:spacing w:after="120"/>
        <w:ind w:left="1170"/>
        <w:jc w:val="both"/>
        <w:rPr>
          <w:rFonts w:cs="Arial"/>
          <w:sz w:val="22"/>
          <w:szCs w:val="22"/>
        </w:rPr>
      </w:pPr>
      <w:r w:rsidRPr="002C5D58">
        <w:rPr>
          <w:rFonts w:cs="Arial"/>
          <w:sz w:val="22"/>
          <w:szCs w:val="22"/>
          <w:lang w:val="en-US"/>
        </w:rPr>
        <w:t>A</w:t>
      </w:r>
      <w:r w:rsidR="0034262C" w:rsidRPr="002C5D58">
        <w:rPr>
          <w:rFonts w:cs="Arial"/>
          <w:sz w:val="22"/>
          <w:szCs w:val="22"/>
          <w:lang w:val="en-US"/>
        </w:rPr>
        <w:t>ny</w:t>
      </w:r>
      <w:r w:rsidR="00AC5B91" w:rsidRPr="002C5D58">
        <w:rPr>
          <w:rFonts w:cs="Arial"/>
          <w:sz w:val="22"/>
          <w:szCs w:val="22"/>
        </w:rPr>
        <w:t xml:space="preserve"> limitation(s) in </w:t>
      </w:r>
      <w:r w:rsidR="00D23389" w:rsidRPr="002C5D58">
        <w:rPr>
          <w:rFonts w:cs="Arial"/>
          <w:sz w:val="22"/>
          <w:szCs w:val="22"/>
          <w:lang w:val="en-US"/>
        </w:rPr>
        <w:t>CE</w:t>
      </w:r>
      <w:r w:rsidRPr="002C5D58">
        <w:rPr>
          <w:rFonts w:cs="Arial"/>
          <w:sz w:val="22"/>
          <w:szCs w:val="22"/>
          <w:lang w:val="en-US"/>
        </w:rPr>
        <w:t>’s</w:t>
      </w:r>
      <w:r w:rsidRPr="002C5D58">
        <w:rPr>
          <w:rFonts w:cs="Arial"/>
          <w:sz w:val="22"/>
          <w:szCs w:val="22"/>
        </w:rPr>
        <w:t xml:space="preserve"> </w:t>
      </w:r>
      <w:r w:rsidR="00AC5B91" w:rsidRPr="002C5D58">
        <w:rPr>
          <w:rFonts w:cs="Arial"/>
          <w:sz w:val="22"/>
          <w:szCs w:val="22"/>
        </w:rPr>
        <w:t xml:space="preserve">notice of privacy practices in accordance with 45 </w:t>
      </w:r>
      <w:r w:rsidR="00D23389" w:rsidRPr="002C5D58">
        <w:rPr>
          <w:rFonts w:cs="Arial"/>
          <w:sz w:val="22"/>
          <w:szCs w:val="22"/>
        </w:rPr>
        <w:t>C.F.R.</w:t>
      </w:r>
      <w:r w:rsidR="00AC5B91" w:rsidRPr="002C5D58">
        <w:rPr>
          <w:rFonts w:cs="Arial"/>
          <w:sz w:val="22"/>
          <w:szCs w:val="22"/>
        </w:rPr>
        <w:t xml:space="preserve"> </w:t>
      </w:r>
      <w:r w:rsidR="00D23389" w:rsidRPr="002C5D58">
        <w:rPr>
          <w:rFonts w:cs="Arial"/>
          <w:sz w:val="22"/>
          <w:szCs w:val="22"/>
          <w:lang w:val="en-US"/>
        </w:rPr>
        <w:t>s</w:t>
      </w:r>
      <w:r w:rsidR="00D23389" w:rsidRPr="002C5D58">
        <w:rPr>
          <w:rFonts w:cs="Arial"/>
          <w:sz w:val="22"/>
          <w:szCs w:val="22"/>
        </w:rPr>
        <w:t xml:space="preserve">ection </w:t>
      </w:r>
      <w:r w:rsidR="00AC5B91" w:rsidRPr="002C5D58">
        <w:rPr>
          <w:rFonts w:cs="Arial"/>
          <w:sz w:val="22"/>
          <w:szCs w:val="22"/>
        </w:rPr>
        <w:t>164.520</w:t>
      </w:r>
      <w:r w:rsidR="00AC5B91" w:rsidRPr="002C5D58">
        <w:rPr>
          <w:rFonts w:cs="Arial"/>
          <w:sz w:val="22"/>
          <w:szCs w:val="22"/>
          <w:lang w:val="en-US"/>
        </w:rPr>
        <w:t>.</w:t>
      </w:r>
    </w:p>
    <w:p w14:paraId="13F56E41" w14:textId="07820EBF" w:rsidR="00AC5B91" w:rsidRPr="002C5D58" w:rsidRDefault="0034262C" w:rsidP="002C5D58">
      <w:pPr>
        <w:pStyle w:val="Header"/>
        <w:numPr>
          <w:ilvl w:val="2"/>
          <w:numId w:val="2"/>
        </w:numPr>
        <w:tabs>
          <w:tab w:val="clear" w:pos="4320"/>
          <w:tab w:val="clear" w:pos="8640"/>
        </w:tabs>
        <w:spacing w:after="120"/>
        <w:ind w:left="1170"/>
        <w:jc w:val="both"/>
        <w:rPr>
          <w:rFonts w:cs="Arial"/>
          <w:sz w:val="22"/>
          <w:szCs w:val="22"/>
        </w:rPr>
      </w:pPr>
      <w:r w:rsidRPr="002C5D58">
        <w:rPr>
          <w:rFonts w:cs="Arial"/>
          <w:sz w:val="22"/>
          <w:szCs w:val="22"/>
          <w:lang w:val="en-US"/>
        </w:rPr>
        <w:t>Any</w:t>
      </w:r>
      <w:r w:rsidR="00AC5B91" w:rsidRPr="002C5D58">
        <w:rPr>
          <w:rFonts w:cs="Arial"/>
          <w:sz w:val="22"/>
          <w:szCs w:val="22"/>
        </w:rPr>
        <w:t xml:space="preserve"> changes in, or revocation of, permission by an individual to use, access or disclose PHI</w:t>
      </w:r>
      <w:r w:rsidR="00CA3C76" w:rsidRPr="002C5D58">
        <w:rPr>
          <w:rFonts w:cs="Arial"/>
          <w:sz w:val="22"/>
          <w:szCs w:val="22"/>
          <w:lang w:val="en-US"/>
        </w:rPr>
        <w:t>.</w:t>
      </w:r>
    </w:p>
    <w:p w14:paraId="49937699" w14:textId="2EBCC669" w:rsidR="00AC5B91" w:rsidRPr="002C5D58" w:rsidRDefault="0034262C" w:rsidP="002C5D58">
      <w:pPr>
        <w:pStyle w:val="Header"/>
        <w:numPr>
          <w:ilvl w:val="2"/>
          <w:numId w:val="2"/>
        </w:numPr>
        <w:tabs>
          <w:tab w:val="clear" w:pos="4320"/>
          <w:tab w:val="clear" w:pos="8640"/>
        </w:tabs>
        <w:spacing w:after="120"/>
        <w:ind w:left="1170"/>
        <w:jc w:val="both"/>
        <w:rPr>
          <w:rFonts w:cs="Arial"/>
          <w:sz w:val="22"/>
          <w:szCs w:val="22"/>
        </w:rPr>
      </w:pPr>
      <w:r w:rsidRPr="002C5D58">
        <w:rPr>
          <w:rFonts w:cs="Arial"/>
          <w:sz w:val="22"/>
          <w:szCs w:val="22"/>
          <w:lang w:val="en-US"/>
        </w:rPr>
        <w:t>Any</w:t>
      </w:r>
      <w:r w:rsidR="00AC5B91" w:rsidRPr="002C5D58">
        <w:rPr>
          <w:rFonts w:cs="Arial"/>
          <w:sz w:val="22"/>
          <w:szCs w:val="22"/>
        </w:rPr>
        <w:t xml:space="preserve"> restriction to the use, access or disclosure of PHI that </w:t>
      </w:r>
      <w:r w:rsidR="00D23389" w:rsidRPr="002C5D58">
        <w:rPr>
          <w:rFonts w:cs="Arial"/>
          <w:sz w:val="22"/>
          <w:szCs w:val="22"/>
        </w:rPr>
        <w:t>CE</w:t>
      </w:r>
      <w:r w:rsidR="00AC5B91" w:rsidRPr="002C5D58">
        <w:rPr>
          <w:rFonts w:cs="Arial"/>
          <w:sz w:val="22"/>
          <w:szCs w:val="22"/>
        </w:rPr>
        <w:t xml:space="preserve"> has agreed to in accordance with 45 </w:t>
      </w:r>
      <w:r w:rsidR="00D23389" w:rsidRPr="002C5D58">
        <w:rPr>
          <w:rFonts w:cs="Arial"/>
          <w:sz w:val="22"/>
          <w:szCs w:val="22"/>
        </w:rPr>
        <w:t>C.F.R.</w:t>
      </w:r>
      <w:r w:rsidR="00AC5B91" w:rsidRPr="002C5D58">
        <w:rPr>
          <w:rFonts w:cs="Arial"/>
          <w:sz w:val="22"/>
          <w:szCs w:val="22"/>
        </w:rPr>
        <w:t xml:space="preserve"> </w:t>
      </w:r>
      <w:r w:rsidR="004C3634">
        <w:rPr>
          <w:rFonts w:cs="Arial"/>
          <w:sz w:val="22"/>
          <w:szCs w:val="22"/>
          <w:lang w:val="en-US"/>
        </w:rPr>
        <w:t>section</w:t>
      </w:r>
      <w:r w:rsidR="00D23389" w:rsidRPr="002C5D58">
        <w:rPr>
          <w:rFonts w:cs="Arial"/>
          <w:sz w:val="22"/>
          <w:szCs w:val="22"/>
        </w:rPr>
        <w:t xml:space="preserve"> </w:t>
      </w:r>
      <w:r w:rsidR="00AC5B91" w:rsidRPr="002C5D58">
        <w:rPr>
          <w:rFonts w:cs="Arial"/>
          <w:sz w:val="22"/>
          <w:szCs w:val="22"/>
        </w:rPr>
        <w:t>164.522</w:t>
      </w:r>
      <w:r w:rsidR="00AC5B91" w:rsidRPr="002C5D58">
        <w:rPr>
          <w:rFonts w:cs="Arial"/>
          <w:sz w:val="22"/>
          <w:szCs w:val="22"/>
          <w:lang w:val="en-US"/>
        </w:rPr>
        <w:t>.</w:t>
      </w:r>
    </w:p>
    <w:p w14:paraId="3939B442" w14:textId="77777777" w:rsidR="00AC5B91" w:rsidRPr="002C5D58" w:rsidRDefault="00AC5B91" w:rsidP="002C5D58">
      <w:pPr>
        <w:pStyle w:val="Header"/>
        <w:numPr>
          <w:ilvl w:val="0"/>
          <w:numId w:val="2"/>
        </w:numPr>
        <w:tabs>
          <w:tab w:val="clear" w:pos="4320"/>
          <w:tab w:val="clear" w:pos="8640"/>
        </w:tabs>
        <w:spacing w:after="120"/>
        <w:ind w:hanging="720"/>
        <w:jc w:val="both"/>
        <w:rPr>
          <w:rFonts w:cs="Arial"/>
          <w:b/>
          <w:sz w:val="22"/>
          <w:szCs w:val="22"/>
        </w:rPr>
      </w:pPr>
      <w:r w:rsidRPr="002C5D58">
        <w:rPr>
          <w:rFonts w:cs="Arial"/>
          <w:b/>
          <w:sz w:val="22"/>
          <w:szCs w:val="22"/>
          <w:lang w:val="en-US"/>
        </w:rPr>
        <w:t>General Provisions</w:t>
      </w:r>
    </w:p>
    <w:p w14:paraId="2A5CB211" w14:textId="78868CD8" w:rsidR="00A656E8" w:rsidRPr="002C5D58" w:rsidRDefault="00A656E8" w:rsidP="002C5D58">
      <w:pPr>
        <w:pStyle w:val="Header"/>
        <w:numPr>
          <w:ilvl w:val="1"/>
          <w:numId w:val="2"/>
        </w:numPr>
        <w:tabs>
          <w:tab w:val="clear" w:pos="4320"/>
          <w:tab w:val="clear" w:pos="8640"/>
        </w:tabs>
        <w:spacing w:after="120"/>
        <w:jc w:val="both"/>
        <w:rPr>
          <w:rFonts w:cs="Arial"/>
          <w:sz w:val="22"/>
          <w:szCs w:val="22"/>
        </w:rPr>
      </w:pPr>
      <w:r w:rsidRPr="002C5D58">
        <w:rPr>
          <w:rFonts w:cs="Arial"/>
          <w:sz w:val="22"/>
          <w:szCs w:val="22"/>
          <w:u w:val="single"/>
          <w:lang w:val="en-US"/>
        </w:rPr>
        <w:t>Term</w:t>
      </w:r>
    </w:p>
    <w:p w14:paraId="5CD63CFE" w14:textId="69570ABC" w:rsidR="00A656E8" w:rsidRDefault="00A656E8"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lang w:val="en-US"/>
        </w:rPr>
        <w:lastRenderedPageBreak/>
        <w:t xml:space="preserve">This </w:t>
      </w:r>
      <w:r w:rsidR="00C8797F">
        <w:rPr>
          <w:rFonts w:cs="Arial"/>
          <w:sz w:val="22"/>
          <w:szCs w:val="22"/>
          <w:lang w:val="en-US"/>
        </w:rPr>
        <w:t xml:space="preserve">MOU </w:t>
      </w:r>
      <w:r w:rsidRPr="002C5D58">
        <w:rPr>
          <w:rFonts w:cs="Arial"/>
          <w:sz w:val="22"/>
          <w:szCs w:val="22"/>
          <w:lang w:val="en-US"/>
        </w:rPr>
        <w:t xml:space="preserve">is effective as of </w:t>
      </w:r>
      <w:r w:rsidR="00C8797F">
        <w:rPr>
          <w:rFonts w:cs="Arial"/>
          <w:sz w:val="22"/>
          <w:szCs w:val="22"/>
          <w:lang w:val="en-US"/>
        </w:rPr>
        <w:t xml:space="preserve">the date fully executed </w:t>
      </w:r>
      <w:r w:rsidRPr="002C5D58">
        <w:rPr>
          <w:rFonts w:cs="Arial"/>
          <w:sz w:val="22"/>
          <w:szCs w:val="22"/>
          <w:lang w:val="en-US"/>
        </w:rPr>
        <w:t xml:space="preserve">and shall continue for a period of </w:t>
      </w:r>
      <w:r w:rsidRPr="002C5D58">
        <w:rPr>
          <w:rFonts w:cs="Arial"/>
          <w:sz w:val="22"/>
          <w:szCs w:val="22"/>
          <w:highlight w:val="yellow"/>
          <w:lang w:val="en-US"/>
        </w:rPr>
        <w:t>_____</w:t>
      </w:r>
      <w:r w:rsidRPr="002C5D58">
        <w:rPr>
          <w:rFonts w:cs="Arial"/>
          <w:sz w:val="22"/>
          <w:szCs w:val="22"/>
          <w:lang w:val="en-US"/>
        </w:rPr>
        <w:t xml:space="preserve"> years/months unless otherwise terminated earlier by the Parties.</w:t>
      </w:r>
    </w:p>
    <w:p w14:paraId="4A84C6E4" w14:textId="77777777" w:rsidR="0005255A" w:rsidRPr="0005255A" w:rsidRDefault="0005255A" w:rsidP="0005255A">
      <w:pPr>
        <w:pStyle w:val="Header"/>
        <w:numPr>
          <w:ilvl w:val="1"/>
          <w:numId w:val="2"/>
        </w:numPr>
        <w:tabs>
          <w:tab w:val="clear" w:pos="4320"/>
          <w:tab w:val="clear" w:pos="8640"/>
        </w:tabs>
        <w:spacing w:after="120"/>
        <w:jc w:val="both"/>
        <w:rPr>
          <w:rFonts w:cs="Arial"/>
          <w:sz w:val="22"/>
          <w:szCs w:val="22"/>
          <w:u w:val="single"/>
          <w:lang w:val="en-US"/>
        </w:rPr>
      </w:pPr>
      <w:r w:rsidRPr="0005255A">
        <w:rPr>
          <w:rFonts w:cs="Arial"/>
          <w:sz w:val="22"/>
          <w:szCs w:val="22"/>
          <w:u w:val="single"/>
          <w:lang w:val="en-US"/>
        </w:rPr>
        <w:t>Department Contact</w:t>
      </w:r>
    </w:p>
    <w:p w14:paraId="62CEF9B5" w14:textId="663A7357" w:rsidR="0005255A" w:rsidRDefault="0005255A" w:rsidP="0005255A">
      <w:pPr>
        <w:pStyle w:val="Header"/>
        <w:tabs>
          <w:tab w:val="clear" w:pos="4320"/>
          <w:tab w:val="clear" w:pos="8640"/>
        </w:tabs>
        <w:spacing w:after="120"/>
        <w:ind w:left="900"/>
        <w:jc w:val="both"/>
        <w:rPr>
          <w:rFonts w:cs="Arial"/>
          <w:sz w:val="22"/>
          <w:szCs w:val="22"/>
          <w:lang w:val="en-US"/>
        </w:rPr>
      </w:pPr>
      <w:r w:rsidRPr="0005255A">
        <w:rPr>
          <w:rFonts w:cs="Arial"/>
          <w:sz w:val="22"/>
          <w:szCs w:val="22"/>
          <w:lang w:val="en-US"/>
        </w:rPr>
        <w:t xml:space="preserve">CE and BA </w:t>
      </w:r>
      <w:r w:rsidR="00937C72">
        <w:rPr>
          <w:rFonts w:cs="Arial"/>
          <w:sz w:val="22"/>
          <w:szCs w:val="22"/>
          <w:lang w:val="en-US"/>
        </w:rPr>
        <w:t>must</w:t>
      </w:r>
      <w:r w:rsidRPr="0005255A">
        <w:rPr>
          <w:rFonts w:cs="Arial"/>
          <w:sz w:val="22"/>
          <w:szCs w:val="22"/>
          <w:lang w:val="en-US"/>
        </w:rPr>
        <w:t xml:space="preserve"> identify a member of department management who </w:t>
      </w:r>
      <w:r w:rsidR="00937C72">
        <w:rPr>
          <w:rFonts w:cs="Arial"/>
          <w:sz w:val="22"/>
          <w:szCs w:val="22"/>
          <w:lang w:val="en-US"/>
        </w:rPr>
        <w:t>must</w:t>
      </w:r>
      <w:r w:rsidRPr="0005255A">
        <w:rPr>
          <w:rFonts w:cs="Arial"/>
          <w:sz w:val="22"/>
          <w:szCs w:val="22"/>
          <w:lang w:val="en-US"/>
        </w:rPr>
        <w:t xml:space="preserve"> be responsible for implementation and enforcement of the requirements of this MOU.  The identified member </w:t>
      </w:r>
      <w:r w:rsidR="00937C72">
        <w:rPr>
          <w:rFonts w:cs="Arial"/>
          <w:sz w:val="22"/>
          <w:szCs w:val="22"/>
          <w:lang w:val="en-US"/>
        </w:rPr>
        <w:t>must</w:t>
      </w:r>
      <w:r w:rsidRPr="0005255A">
        <w:rPr>
          <w:rFonts w:cs="Arial"/>
          <w:sz w:val="22"/>
          <w:szCs w:val="22"/>
          <w:lang w:val="en-US"/>
        </w:rPr>
        <w:t xml:space="preserve"> have the authority to make decisions about operations that may affect authorizing, accessing, or using the data and should serve as the contact for inquiries regarding the security and confidentiality policies and practices.</w:t>
      </w:r>
    </w:p>
    <w:p w14:paraId="7293DEEE" w14:textId="77777777" w:rsidR="00AC5B91" w:rsidRPr="002C5D58" w:rsidRDefault="00AC5B91" w:rsidP="002C5D58">
      <w:pPr>
        <w:pStyle w:val="Header"/>
        <w:numPr>
          <w:ilvl w:val="1"/>
          <w:numId w:val="2"/>
        </w:numPr>
        <w:tabs>
          <w:tab w:val="clear" w:pos="4320"/>
          <w:tab w:val="clear" w:pos="8640"/>
        </w:tabs>
        <w:spacing w:after="120"/>
        <w:jc w:val="both"/>
        <w:rPr>
          <w:rFonts w:cs="Arial"/>
          <w:sz w:val="22"/>
          <w:szCs w:val="22"/>
        </w:rPr>
      </w:pPr>
      <w:r w:rsidRPr="002C5D58">
        <w:rPr>
          <w:rFonts w:cs="Arial"/>
          <w:sz w:val="22"/>
          <w:szCs w:val="22"/>
          <w:u w:val="single"/>
          <w:lang w:val="en-US"/>
        </w:rPr>
        <w:t>Ownership</w:t>
      </w:r>
    </w:p>
    <w:p w14:paraId="2DDC42CE" w14:textId="0993597F" w:rsidR="00AC5B91" w:rsidRDefault="00AC5B91"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rPr>
        <w:t xml:space="preserve">The PHI shall be and remain the property of the </w:t>
      </w:r>
      <w:r w:rsidR="00D23389" w:rsidRPr="002C5D58">
        <w:rPr>
          <w:rFonts w:cs="Arial"/>
          <w:sz w:val="22"/>
          <w:szCs w:val="22"/>
        </w:rPr>
        <w:t>CE</w:t>
      </w:r>
      <w:r w:rsidRPr="002C5D58">
        <w:rPr>
          <w:rFonts w:cs="Arial"/>
          <w:sz w:val="22"/>
          <w:szCs w:val="22"/>
        </w:rPr>
        <w:t>.  BA agrees that it acquires no title or rights to the PHI</w:t>
      </w:r>
      <w:r w:rsidRPr="002C5D58">
        <w:rPr>
          <w:rFonts w:cs="Arial"/>
          <w:sz w:val="22"/>
          <w:szCs w:val="22"/>
          <w:lang w:val="en-US"/>
        </w:rPr>
        <w:t>.</w:t>
      </w:r>
    </w:p>
    <w:p w14:paraId="75FB9380" w14:textId="77777777" w:rsidR="00AC5B91" w:rsidRPr="002C5D58" w:rsidRDefault="00AC5B91" w:rsidP="00EE0CDC">
      <w:pPr>
        <w:numPr>
          <w:ilvl w:val="1"/>
          <w:numId w:val="2"/>
        </w:numPr>
        <w:tabs>
          <w:tab w:val="left" w:pos="900"/>
        </w:tabs>
        <w:suppressAutoHyphens/>
        <w:spacing w:after="120"/>
        <w:jc w:val="both"/>
        <w:rPr>
          <w:rFonts w:cs="Arial"/>
          <w:szCs w:val="22"/>
          <w:u w:val="single"/>
        </w:rPr>
      </w:pPr>
      <w:r w:rsidRPr="002C5D58">
        <w:rPr>
          <w:rFonts w:cs="Arial"/>
          <w:szCs w:val="22"/>
          <w:u w:val="single"/>
        </w:rPr>
        <w:t>Regulatory References</w:t>
      </w:r>
    </w:p>
    <w:p w14:paraId="4F569E52" w14:textId="639DE06A" w:rsidR="00AC5B91" w:rsidRPr="002C5D58" w:rsidRDefault="00AC5B91" w:rsidP="002C5D58">
      <w:pPr>
        <w:pStyle w:val="Header"/>
        <w:tabs>
          <w:tab w:val="clear" w:pos="4320"/>
          <w:tab w:val="clear" w:pos="8640"/>
        </w:tabs>
        <w:spacing w:after="120"/>
        <w:ind w:left="900"/>
        <w:jc w:val="both"/>
        <w:rPr>
          <w:rFonts w:cs="Arial"/>
          <w:sz w:val="22"/>
          <w:szCs w:val="22"/>
        </w:rPr>
      </w:pPr>
      <w:r w:rsidRPr="002C5D58">
        <w:rPr>
          <w:rFonts w:cs="Arial"/>
          <w:sz w:val="22"/>
          <w:szCs w:val="22"/>
        </w:rPr>
        <w:t xml:space="preserve">A reference in this </w:t>
      </w:r>
      <w:r w:rsidR="008C1BA8">
        <w:rPr>
          <w:rFonts w:cs="Arial"/>
          <w:sz w:val="22"/>
          <w:szCs w:val="22"/>
          <w:lang w:val="en-US"/>
        </w:rPr>
        <w:t>MOU</w:t>
      </w:r>
      <w:r w:rsidRPr="002C5D58">
        <w:rPr>
          <w:rFonts w:cs="Arial"/>
          <w:sz w:val="22"/>
          <w:szCs w:val="22"/>
        </w:rPr>
        <w:t xml:space="preserve"> to a section in the Privacy </w:t>
      </w:r>
      <w:r w:rsidR="003A5740" w:rsidRPr="002C5D58">
        <w:rPr>
          <w:rFonts w:cs="Arial"/>
          <w:sz w:val="22"/>
          <w:szCs w:val="22"/>
          <w:lang w:val="en-US"/>
        </w:rPr>
        <w:t xml:space="preserve">Rule </w:t>
      </w:r>
      <w:r w:rsidRPr="002C5D58">
        <w:rPr>
          <w:rFonts w:cs="Arial"/>
          <w:sz w:val="22"/>
          <w:szCs w:val="22"/>
        </w:rPr>
        <w:t>and Security Rule and patient confidentiality regulations means the section as in effect or as amended</w:t>
      </w:r>
      <w:r w:rsidRPr="002C5D58">
        <w:rPr>
          <w:rFonts w:cs="Arial"/>
          <w:sz w:val="22"/>
          <w:szCs w:val="22"/>
          <w:lang w:val="en-US"/>
        </w:rPr>
        <w:t>.</w:t>
      </w:r>
    </w:p>
    <w:p w14:paraId="3303A337" w14:textId="77777777" w:rsidR="00AC5B91" w:rsidRPr="00E17F38" w:rsidRDefault="00AC5B91" w:rsidP="002C5D58">
      <w:pPr>
        <w:pStyle w:val="Header"/>
        <w:numPr>
          <w:ilvl w:val="1"/>
          <w:numId w:val="2"/>
        </w:numPr>
        <w:tabs>
          <w:tab w:val="clear" w:pos="4320"/>
          <w:tab w:val="clear" w:pos="8640"/>
        </w:tabs>
        <w:spacing w:after="120"/>
        <w:jc w:val="both"/>
        <w:rPr>
          <w:rFonts w:cs="Arial"/>
          <w:sz w:val="22"/>
          <w:szCs w:val="22"/>
        </w:rPr>
      </w:pPr>
      <w:r w:rsidRPr="00E17F38">
        <w:rPr>
          <w:rFonts w:cs="Arial"/>
          <w:sz w:val="22"/>
          <w:szCs w:val="22"/>
          <w:u w:val="single"/>
          <w:lang w:val="en-US"/>
        </w:rPr>
        <w:t>Amendment</w:t>
      </w:r>
    </w:p>
    <w:p w14:paraId="2D99527E" w14:textId="4FCAE86C" w:rsidR="00AC5B91" w:rsidRPr="002C5D58" w:rsidRDefault="0034262C" w:rsidP="002C5D58">
      <w:pPr>
        <w:pStyle w:val="Header"/>
        <w:tabs>
          <w:tab w:val="clear" w:pos="4320"/>
          <w:tab w:val="clear" w:pos="8640"/>
        </w:tabs>
        <w:spacing w:after="120"/>
        <w:ind w:left="900"/>
        <w:jc w:val="both"/>
        <w:rPr>
          <w:rFonts w:cs="Arial"/>
          <w:sz w:val="22"/>
          <w:szCs w:val="22"/>
          <w:lang w:val="en-US"/>
        </w:rPr>
      </w:pPr>
      <w:r w:rsidRPr="00E17F38">
        <w:rPr>
          <w:rFonts w:cs="Arial"/>
          <w:sz w:val="22"/>
          <w:szCs w:val="22"/>
        </w:rPr>
        <w:t xml:space="preserve">The parties acknowledge that state and federal laws related to privacy and security of PHI are rapidly evolving and that amendment of this </w:t>
      </w:r>
      <w:r w:rsidR="008C1BA8" w:rsidRPr="00E17F38">
        <w:rPr>
          <w:rFonts w:cs="Arial"/>
          <w:sz w:val="22"/>
          <w:szCs w:val="22"/>
          <w:lang w:val="en-US"/>
        </w:rPr>
        <w:t>MOU</w:t>
      </w:r>
      <w:r w:rsidRPr="00E17F38">
        <w:rPr>
          <w:rFonts w:cs="Arial"/>
          <w:sz w:val="22"/>
          <w:szCs w:val="22"/>
        </w:rPr>
        <w:t xml:space="preserve"> may be required to ensure compliance with such developments.  The parties shall negotiate in good faith to amend this </w:t>
      </w:r>
      <w:r w:rsidR="00E17F38" w:rsidRPr="00E17F38">
        <w:rPr>
          <w:rFonts w:cs="Arial"/>
          <w:sz w:val="22"/>
          <w:szCs w:val="22"/>
          <w:lang w:val="en-US"/>
        </w:rPr>
        <w:t>MOU</w:t>
      </w:r>
      <w:r w:rsidRPr="00E17F38">
        <w:rPr>
          <w:rFonts w:cs="Arial"/>
          <w:sz w:val="22"/>
          <w:szCs w:val="22"/>
        </w:rPr>
        <w:t xml:space="preserve"> when and as necessary to comply with applicable laws. If either party does not agree to so amend this Agreement within 30 days after receiving a request for amendment from the other, either party may terminate the </w:t>
      </w:r>
      <w:r w:rsidR="00E17F38" w:rsidRPr="00E17F38">
        <w:rPr>
          <w:rFonts w:cs="Arial"/>
          <w:sz w:val="22"/>
          <w:szCs w:val="22"/>
          <w:lang w:val="en-US"/>
        </w:rPr>
        <w:t>MOU</w:t>
      </w:r>
      <w:r w:rsidRPr="00E17F38">
        <w:rPr>
          <w:rFonts w:cs="Arial"/>
          <w:sz w:val="22"/>
          <w:szCs w:val="22"/>
        </w:rPr>
        <w:t xml:space="preserve"> upon written notice. To the extent an amendment to this </w:t>
      </w:r>
      <w:r w:rsidR="00E17F38" w:rsidRPr="00E17F38">
        <w:rPr>
          <w:rFonts w:cs="Arial"/>
          <w:sz w:val="22"/>
          <w:szCs w:val="22"/>
          <w:lang w:val="en-US"/>
        </w:rPr>
        <w:t>MOU</w:t>
      </w:r>
      <w:r w:rsidRPr="00E17F38">
        <w:rPr>
          <w:rFonts w:cs="Arial"/>
          <w:sz w:val="22"/>
          <w:szCs w:val="22"/>
        </w:rPr>
        <w:t xml:space="preserve"> is required by law and this </w:t>
      </w:r>
      <w:r w:rsidR="00E17F38" w:rsidRPr="00E17F38">
        <w:rPr>
          <w:rFonts w:cs="Arial"/>
          <w:sz w:val="22"/>
          <w:szCs w:val="22"/>
          <w:lang w:val="en-US"/>
        </w:rPr>
        <w:t>MOU</w:t>
      </w:r>
      <w:r w:rsidRPr="00E17F38">
        <w:rPr>
          <w:rFonts w:cs="Arial"/>
          <w:sz w:val="22"/>
          <w:szCs w:val="22"/>
        </w:rPr>
        <w:t xml:space="preserve"> has not been so amended to comply with the applicable law in a timely manner, the amendment required by law shall be deemed to be incorporated into this </w:t>
      </w:r>
      <w:r w:rsidR="00E17F38" w:rsidRPr="00E17F38">
        <w:rPr>
          <w:rFonts w:cs="Arial"/>
          <w:sz w:val="22"/>
          <w:szCs w:val="22"/>
          <w:lang w:val="en-US"/>
        </w:rPr>
        <w:t>MOU</w:t>
      </w:r>
      <w:r w:rsidRPr="00E17F38">
        <w:rPr>
          <w:rFonts w:cs="Arial"/>
          <w:sz w:val="22"/>
          <w:szCs w:val="22"/>
        </w:rPr>
        <w:t xml:space="preserve"> automatically and without further action required by either of the parties. Subject to the foregoing, this </w:t>
      </w:r>
      <w:r w:rsidR="00E17F38" w:rsidRPr="00E17F38">
        <w:rPr>
          <w:rFonts w:cs="Arial"/>
          <w:sz w:val="22"/>
          <w:szCs w:val="22"/>
          <w:lang w:val="en-US"/>
        </w:rPr>
        <w:t>MOU</w:t>
      </w:r>
      <w:r w:rsidRPr="00E17F38">
        <w:rPr>
          <w:rFonts w:cs="Arial"/>
          <w:sz w:val="22"/>
          <w:szCs w:val="22"/>
        </w:rPr>
        <w:t xml:space="preserve"> may not be modified, nor shall any provision hereof be waived or amended, except in a writing</w:t>
      </w:r>
      <w:r w:rsidR="008E6319" w:rsidRPr="00E17F38">
        <w:rPr>
          <w:rFonts w:cs="Arial"/>
          <w:sz w:val="22"/>
          <w:szCs w:val="22"/>
        </w:rPr>
        <w:t xml:space="preserve"> duly signed and agreed to by B</w:t>
      </w:r>
      <w:r w:rsidRPr="00E17F38">
        <w:rPr>
          <w:rFonts w:cs="Arial"/>
          <w:sz w:val="22"/>
          <w:szCs w:val="22"/>
        </w:rPr>
        <w:t xml:space="preserve">A and </w:t>
      </w:r>
      <w:r w:rsidR="00D23389" w:rsidRPr="00E17F38">
        <w:rPr>
          <w:rFonts w:cs="Arial"/>
          <w:sz w:val="22"/>
          <w:szCs w:val="22"/>
          <w:lang w:val="en-US"/>
        </w:rPr>
        <w:t>CE</w:t>
      </w:r>
      <w:r w:rsidR="00AC5B91" w:rsidRPr="00E17F38">
        <w:rPr>
          <w:rFonts w:cs="Arial"/>
          <w:sz w:val="22"/>
          <w:szCs w:val="22"/>
          <w:lang w:val="en-US"/>
        </w:rPr>
        <w:t>.</w:t>
      </w:r>
    </w:p>
    <w:p w14:paraId="6DFE799F" w14:textId="77777777" w:rsidR="00AC5B91" w:rsidRPr="00E17F38" w:rsidRDefault="00AC5B91" w:rsidP="002C5D58">
      <w:pPr>
        <w:pStyle w:val="Header"/>
        <w:numPr>
          <w:ilvl w:val="1"/>
          <w:numId w:val="2"/>
        </w:numPr>
        <w:tabs>
          <w:tab w:val="clear" w:pos="4320"/>
          <w:tab w:val="clear" w:pos="8640"/>
        </w:tabs>
        <w:spacing w:after="120"/>
        <w:jc w:val="both"/>
        <w:rPr>
          <w:rFonts w:cs="Arial"/>
          <w:sz w:val="22"/>
          <w:szCs w:val="22"/>
        </w:rPr>
      </w:pPr>
      <w:r w:rsidRPr="00E17F38">
        <w:rPr>
          <w:rFonts w:cs="Arial"/>
          <w:sz w:val="22"/>
          <w:szCs w:val="22"/>
          <w:u w:val="single"/>
          <w:lang w:val="en-US"/>
        </w:rPr>
        <w:t>Interpretation</w:t>
      </w:r>
    </w:p>
    <w:p w14:paraId="568CBE66" w14:textId="3D324842" w:rsidR="00AC5B91" w:rsidRPr="00E17F38" w:rsidRDefault="00AC5B91" w:rsidP="002C5D58">
      <w:pPr>
        <w:pStyle w:val="Header"/>
        <w:tabs>
          <w:tab w:val="clear" w:pos="4320"/>
          <w:tab w:val="clear" w:pos="8640"/>
        </w:tabs>
        <w:spacing w:after="120"/>
        <w:ind w:left="900"/>
        <w:jc w:val="both"/>
        <w:rPr>
          <w:rFonts w:cs="Arial"/>
          <w:sz w:val="22"/>
          <w:szCs w:val="22"/>
          <w:lang w:val="en-US"/>
        </w:rPr>
      </w:pPr>
      <w:r w:rsidRPr="00E17F38">
        <w:rPr>
          <w:rFonts w:cs="Arial"/>
          <w:sz w:val="22"/>
          <w:szCs w:val="22"/>
        </w:rPr>
        <w:t xml:space="preserve">Any ambiguity in this Agreement shall be resolved to permit </w:t>
      </w:r>
      <w:r w:rsidR="00D23389" w:rsidRPr="00E17F38">
        <w:rPr>
          <w:rFonts w:cs="Arial"/>
          <w:sz w:val="22"/>
          <w:szCs w:val="22"/>
        </w:rPr>
        <w:t>CE</w:t>
      </w:r>
      <w:r w:rsidRPr="00E17F38">
        <w:rPr>
          <w:rFonts w:cs="Arial"/>
          <w:sz w:val="22"/>
          <w:szCs w:val="22"/>
        </w:rPr>
        <w:t xml:space="preserve"> to comply with the Privacy </w:t>
      </w:r>
      <w:r w:rsidR="00CC161E" w:rsidRPr="00E17F38">
        <w:rPr>
          <w:rFonts w:cs="Arial"/>
          <w:sz w:val="22"/>
          <w:szCs w:val="22"/>
          <w:lang w:val="en-US"/>
        </w:rPr>
        <w:t xml:space="preserve">Rule, </w:t>
      </w:r>
      <w:r w:rsidRPr="00E17F38">
        <w:rPr>
          <w:rFonts w:cs="Arial"/>
          <w:sz w:val="22"/>
          <w:szCs w:val="22"/>
        </w:rPr>
        <w:t>Security Rule</w:t>
      </w:r>
      <w:r w:rsidR="0034262C" w:rsidRPr="00E17F38">
        <w:rPr>
          <w:rFonts w:cs="Arial"/>
          <w:sz w:val="22"/>
          <w:szCs w:val="22"/>
          <w:lang w:val="en-US"/>
        </w:rPr>
        <w:t>, the HITECH Act,</w:t>
      </w:r>
      <w:r w:rsidRPr="00E17F38">
        <w:rPr>
          <w:rFonts w:cs="Arial"/>
          <w:sz w:val="22"/>
          <w:szCs w:val="22"/>
        </w:rPr>
        <w:t xml:space="preserve"> and </w:t>
      </w:r>
      <w:r w:rsidR="0034262C" w:rsidRPr="00E17F38">
        <w:rPr>
          <w:rFonts w:cs="Arial"/>
          <w:sz w:val="22"/>
          <w:szCs w:val="22"/>
          <w:lang w:val="en-US"/>
        </w:rPr>
        <w:t xml:space="preserve">all applicable </w:t>
      </w:r>
      <w:r w:rsidRPr="00E17F38">
        <w:rPr>
          <w:rFonts w:cs="Arial"/>
          <w:sz w:val="22"/>
          <w:szCs w:val="22"/>
        </w:rPr>
        <w:t>patient confidentiality regulations</w:t>
      </w:r>
      <w:r w:rsidRPr="00E17F38">
        <w:rPr>
          <w:rFonts w:cs="Arial"/>
          <w:sz w:val="22"/>
          <w:szCs w:val="22"/>
          <w:lang w:val="en-US"/>
        </w:rPr>
        <w:t>.</w:t>
      </w:r>
    </w:p>
    <w:p w14:paraId="70712FC9" w14:textId="77777777" w:rsidR="007B453B" w:rsidRPr="002C5D58" w:rsidRDefault="007B453B" w:rsidP="002C5D58">
      <w:pPr>
        <w:pStyle w:val="Header"/>
        <w:numPr>
          <w:ilvl w:val="1"/>
          <w:numId w:val="2"/>
        </w:numPr>
        <w:spacing w:after="120"/>
        <w:jc w:val="both"/>
        <w:rPr>
          <w:rFonts w:cs="Arial"/>
          <w:sz w:val="22"/>
          <w:szCs w:val="22"/>
          <w:u w:val="single"/>
        </w:rPr>
      </w:pPr>
      <w:r w:rsidRPr="002C5D58">
        <w:rPr>
          <w:rFonts w:cs="Arial"/>
          <w:sz w:val="22"/>
          <w:szCs w:val="22"/>
          <w:u w:val="single"/>
        </w:rPr>
        <w:t>Compliance with State Law</w:t>
      </w:r>
    </w:p>
    <w:p w14:paraId="41431EF7" w14:textId="39D00664" w:rsidR="007B453B" w:rsidRPr="002C5D58" w:rsidRDefault="007B453B" w:rsidP="002C5D58">
      <w:pPr>
        <w:pStyle w:val="Header"/>
        <w:tabs>
          <w:tab w:val="clear" w:pos="4320"/>
          <w:tab w:val="clear" w:pos="8640"/>
        </w:tabs>
        <w:spacing w:after="120"/>
        <w:ind w:left="900"/>
        <w:jc w:val="both"/>
        <w:rPr>
          <w:rFonts w:cs="Arial"/>
          <w:sz w:val="22"/>
          <w:szCs w:val="22"/>
          <w:lang w:val="en-US"/>
        </w:rPr>
      </w:pPr>
      <w:r w:rsidRPr="002C5D58">
        <w:rPr>
          <w:rFonts w:cs="Arial"/>
          <w:sz w:val="22"/>
          <w:szCs w:val="22"/>
        </w:rPr>
        <w:t xml:space="preserve">In addition to HIPAA and all applicable HIPAA Regulations, </w:t>
      </w:r>
      <w:r w:rsidR="00CA3C76" w:rsidRPr="002C5D58">
        <w:rPr>
          <w:rFonts w:cs="Arial"/>
          <w:sz w:val="22"/>
          <w:szCs w:val="22"/>
          <w:lang w:val="en-US"/>
        </w:rPr>
        <w:t>BA</w:t>
      </w:r>
      <w:r w:rsidRPr="002C5D58">
        <w:rPr>
          <w:rFonts w:cs="Arial"/>
          <w:sz w:val="22"/>
          <w:szCs w:val="22"/>
        </w:rPr>
        <w:t xml:space="preserve"> acknowledges that </w:t>
      </w:r>
      <w:r w:rsidR="00CA3C76" w:rsidRPr="002C5D58">
        <w:rPr>
          <w:rFonts w:cs="Arial"/>
          <w:sz w:val="22"/>
          <w:szCs w:val="22"/>
          <w:lang w:val="en-US"/>
        </w:rPr>
        <w:t>BA</w:t>
      </w:r>
      <w:r w:rsidRPr="002C5D58">
        <w:rPr>
          <w:rFonts w:cs="Arial"/>
          <w:sz w:val="22"/>
          <w:szCs w:val="22"/>
        </w:rPr>
        <w:t xml:space="preserve"> and </w:t>
      </w:r>
      <w:r w:rsidR="00D23389" w:rsidRPr="002C5D58">
        <w:rPr>
          <w:rFonts w:cs="Arial"/>
          <w:sz w:val="22"/>
          <w:szCs w:val="22"/>
          <w:lang w:val="en-US"/>
        </w:rPr>
        <w:t>CE</w:t>
      </w:r>
      <w:r w:rsidRPr="002C5D58">
        <w:rPr>
          <w:rFonts w:cs="Arial"/>
          <w:sz w:val="22"/>
          <w:szCs w:val="22"/>
        </w:rPr>
        <w:t xml:space="preserve"> may have confidentiality and privacy obligations under State law, including, but not limited to, the California Confidentia</w:t>
      </w:r>
      <w:r w:rsidR="00CA3C76" w:rsidRPr="002C5D58">
        <w:rPr>
          <w:rFonts w:cs="Arial"/>
          <w:sz w:val="22"/>
          <w:szCs w:val="22"/>
        </w:rPr>
        <w:t>lity of Medical Information Act</w:t>
      </w:r>
      <w:r w:rsidRPr="002C5D58">
        <w:rPr>
          <w:rFonts w:cs="Arial"/>
          <w:sz w:val="22"/>
          <w:szCs w:val="22"/>
        </w:rPr>
        <w:t xml:space="preserve"> </w:t>
      </w:r>
      <w:r w:rsidR="00CA3C76" w:rsidRPr="002C5D58">
        <w:rPr>
          <w:rFonts w:cs="Arial"/>
          <w:sz w:val="22"/>
          <w:szCs w:val="22"/>
          <w:lang w:val="en-US"/>
        </w:rPr>
        <w:t>(</w:t>
      </w:r>
      <w:r w:rsidRPr="002C5D58">
        <w:rPr>
          <w:rFonts w:cs="Arial"/>
          <w:sz w:val="22"/>
          <w:szCs w:val="22"/>
        </w:rPr>
        <w:t>Cal. Civil Code §56, et seq. (“CMIA”)</w:t>
      </w:r>
      <w:r w:rsidR="00CA3C76" w:rsidRPr="002C5D58">
        <w:rPr>
          <w:rFonts w:cs="Arial"/>
          <w:sz w:val="22"/>
          <w:szCs w:val="22"/>
          <w:lang w:val="en-US"/>
        </w:rPr>
        <w:t>)</w:t>
      </w:r>
      <w:r w:rsidRPr="002C5D58">
        <w:rPr>
          <w:rFonts w:cs="Arial"/>
          <w:sz w:val="22"/>
          <w:szCs w:val="22"/>
        </w:rPr>
        <w:t xml:space="preserve">. If any provisions of this </w:t>
      </w:r>
      <w:r w:rsidR="008C1BA8">
        <w:rPr>
          <w:rFonts w:cs="Arial"/>
          <w:sz w:val="22"/>
          <w:szCs w:val="22"/>
          <w:lang w:val="en-US"/>
        </w:rPr>
        <w:t>MOU</w:t>
      </w:r>
      <w:r w:rsidRPr="002C5D58">
        <w:rPr>
          <w:rFonts w:cs="Arial"/>
          <w:sz w:val="22"/>
          <w:szCs w:val="22"/>
        </w:rPr>
        <w:t xml:space="preserve"> or HIPAA Regulations or the HITECH Act conflict with CMIA or any other California State law regarding the degree of protection provided for PHI and patient medical records, then </w:t>
      </w:r>
      <w:r w:rsidR="00CA3C76" w:rsidRPr="002C5D58">
        <w:rPr>
          <w:rFonts w:cs="Arial"/>
          <w:sz w:val="22"/>
          <w:szCs w:val="22"/>
          <w:lang w:val="en-US"/>
        </w:rPr>
        <w:t>BA</w:t>
      </w:r>
      <w:r w:rsidRPr="002C5D58">
        <w:rPr>
          <w:rFonts w:cs="Arial"/>
          <w:sz w:val="22"/>
          <w:szCs w:val="22"/>
        </w:rPr>
        <w:t xml:space="preserve"> </w:t>
      </w:r>
      <w:r w:rsidR="00937C72">
        <w:rPr>
          <w:rFonts w:cs="Arial"/>
          <w:sz w:val="22"/>
          <w:szCs w:val="22"/>
        </w:rPr>
        <w:t>must</w:t>
      </w:r>
      <w:r w:rsidRPr="002C5D58">
        <w:rPr>
          <w:rFonts w:cs="Arial"/>
          <w:sz w:val="22"/>
          <w:szCs w:val="22"/>
        </w:rPr>
        <w:t xml:space="preserve"> comply with the more restrictive requirements</w:t>
      </w:r>
      <w:r w:rsidRPr="002C5D58">
        <w:rPr>
          <w:rFonts w:cs="Arial"/>
          <w:sz w:val="22"/>
          <w:szCs w:val="22"/>
          <w:lang w:val="en-US"/>
        </w:rPr>
        <w:t>.</w:t>
      </w:r>
    </w:p>
    <w:p w14:paraId="4707C7C4" w14:textId="77777777" w:rsidR="007B453B" w:rsidRPr="00E17F38" w:rsidRDefault="007B453B" w:rsidP="002C5D58">
      <w:pPr>
        <w:pStyle w:val="Header"/>
        <w:numPr>
          <w:ilvl w:val="1"/>
          <w:numId w:val="2"/>
        </w:numPr>
        <w:spacing w:after="120"/>
        <w:jc w:val="both"/>
        <w:rPr>
          <w:rFonts w:cs="Arial"/>
          <w:sz w:val="22"/>
          <w:szCs w:val="22"/>
          <w:lang w:val="en-US"/>
        </w:rPr>
      </w:pPr>
      <w:r w:rsidRPr="00E17F38">
        <w:rPr>
          <w:rFonts w:cs="Arial"/>
          <w:sz w:val="22"/>
          <w:szCs w:val="22"/>
          <w:u w:val="single"/>
          <w:lang w:val="en-US"/>
        </w:rPr>
        <w:t>Survival</w:t>
      </w:r>
    </w:p>
    <w:p w14:paraId="10878279" w14:textId="3A7CE499" w:rsidR="007B453B" w:rsidRDefault="007B453B" w:rsidP="002C5D58">
      <w:pPr>
        <w:pStyle w:val="Header"/>
        <w:tabs>
          <w:tab w:val="clear" w:pos="4320"/>
          <w:tab w:val="clear" w:pos="8640"/>
        </w:tabs>
        <w:spacing w:after="120"/>
        <w:ind w:left="900"/>
        <w:jc w:val="both"/>
        <w:rPr>
          <w:rFonts w:cs="Arial"/>
          <w:sz w:val="22"/>
          <w:szCs w:val="22"/>
          <w:lang w:val="en-US"/>
        </w:rPr>
      </w:pPr>
      <w:r w:rsidRPr="00E17F38">
        <w:rPr>
          <w:rFonts w:cs="Arial"/>
          <w:sz w:val="22"/>
          <w:szCs w:val="22"/>
          <w:lang w:val="en-US"/>
        </w:rPr>
        <w:t xml:space="preserve">The respective rights and obligations and rights of </w:t>
      </w:r>
      <w:r w:rsidR="00D23389" w:rsidRPr="00E17F38">
        <w:rPr>
          <w:rFonts w:cs="Arial"/>
          <w:sz w:val="22"/>
          <w:szCs w:val="22"/>
          <w:lang w:val="en-US"/>
        </w:rPr>
        <w:t>CE</w:t>
      </w:r>
      <w:r w:rsidRPr="00E17F38">
        <w:rPr>
          <w:rFonts w:cs="Arial"/>
          <w:sz w:val="22"/>
          <w:szCs w:val="22"/>
          <w:lang w:val="en-US"/>
        </w:rPr>
        <w:t xml:space="preserve"> and </w:t>
      </w:r>
      <w:r w:rsidR="00CA3C76" w:rsidRPr="00E17F38">
        <w:rPr>
          <w:rFonts w:cs="Arial"/>
          <w:sz w:val="22"/>
          <w:szCs w:val="22"/>
          <w:lang w:val="en-US"/>
        </w:rPr>
        <w:t>BA</w:t>
      </w:r>
      <w:r w:rsidRPr="00E17F38">
        <w:rPr>
          <w:rFonts w:cs="Arial"/>
          <w:sz w:val="22"/>
          <w:szCs w:val="22"/>
          <w:lang w:val="en-US"/>
        </w:rPr>
        <w:t xml:space="preserve"> relating to protecting the confidentiality or a patient’s </w:t>
      </w:r>
      <w:r w:rsidR="00CA3C76" w:rsidRPr="00E17F38">
        <w:rPr>
          <w:rFonts w:cs="Arial"/>
          <w:sz w:val="22"/>
          <w:szCs w:val="22"/>
          <w:lang w:val="en-US"/>
        </w:rPr>
        <w:t>PHI</w:t>
      </w:r>
      <w:r w:rsidRPr="00E17F38">
        <w:rPr>
          <w:rFonts w:cs="Arial"/>
          <w:sz w:val="22"/>
          <w:szCs w:val="22"/>
          <w:lang w:val="en-US"/>
        </w:rPr>
        <w:t xml:space="preserve"> shall survive the termination of this Agreement.</w:t>
      </w:r>
    </w:p>
    <w:p w14:paraId="0D8E0F36" w14:textId="16FB243C" w:rsidR="00CE76B3" w:rsidRDefault="00CE76B3" w:rsidP="00CE76B3">
      <w:pPr>
        <w:pStyle w:val="Header"/>
        <w:numPr>
          <w:ilvl w:val="1"/>
          <w:numId w:val="2"/>
        </w:numPr>
        <w:tabs>
          <w:tab w:val="clear" w:pos="4320"/>
          <w:tab w:val="clear" w:pos="8640"/>
        </w:tabs>
        <w:spacing w:after="120"/>
        <w:jc w:val="both"/>
        <w:rPr>
          <w:rFonts w:cs="Arial"/>
          <w:sz w:val="22"/>
          <w:szCs w:val="22"/>
          <w:u w:val="single"/>
          <w:lang w:val="en-US"/>
        </w:rPr>
      </w:pPr>
      <w:r w:rsidRPr="00CE76B3">
        <w:rPr>
          <w:rFonts w:cs="Arial"/>
          <w:sz w:val="22"/>
          <w:szCs w:val="22"/>
          <w:u w:val="single"/>
          <w:lang w:val="en-US"/>
        </w:rPr>
        <w:t>Dispute Resolution</w:t>
      </w:r>
    </w:p>
    <w:p w14:paraId="3BA9DFA6" w14:textId="6F3BCB35" w:rsidR="00CE76B3" w:rsidRPr="00CE76B3" w:rsidRDefault="00CE76B3" w:rsidP="00CE76B3">
      <w:pPr>
        <w:pStyle w:val="Header"/>
        <w:tabs>
          <w:tab w:val="clear" w:pos="4320"/>
          <w:tab w:val="clear" w:pos="8640"/>
        </w:tabs>
        <w:spacing w:after="120"/>
        <w:ind w:left="900"/>
        <w:jc w:val="both"/>
        <w:rPr>
          <w:rFonts w:cs="Arial"/>
          <w:sz w:val="22"/>
          <w:szCs w:val="22"/>
          <w:lang w:val="en-US"/>
        </w:rPr>
      </w:pPr>
      <w:r w:rsidRPr="00CE76B3">
        <w:rPr>
          <w:rFonts w:cs="Arial"/>
          <w:sz w:val="22"/>
          <w:szCs w:val="22"/>
          <w:lang w:val="en-US"/>
        </w:rPr>
        <w:t>CE and BA agree they will establish mutually satisfactory methods for problem resolution at the lowest possible level as the optimum, with a procedure to escalate problem resolution through the appropriate chain-of-command, as deemed necessary.</w:t>
      </w:r>
    </w:p>
    <w:p w14:paraId="4F3084F3" w14:textId="1E92D8C0" w:rsidR="001417E7" w:rsidRDefault="001417E7" w:rsidP="00AD2973">
      <w:pPr>
        <w:pStyle w:val="Header"/>
        <w:tabs>
          <w:tab w:val="clear" w:pos="4320"/>
          <w:tab w:val="clear" w:pos="8640"/>
        </w:tabs>
        <w:spacing w:after="120"/>
        <w:ind w:left="900"/>
        <w:jc w:val="both"/>
        <w:rPr>
          <w:rFonts w:cs="Arial"/>
          <w:sz w:val="22"/>
          <w:szCs w:val="22"/>
          <w:lang w:val="en-US"/>
        </w:rPr>
      </w:pPr>
    </w:p>
    <w:p w14:paraId="02920E9A" w14:textId="77777777" w:rsidR="001417E7" w:rsidRPr="00CE76B3" w:rsidRDefault="001417E7" w:rsidP="00AD2973">
      <w:pPr>
        <w:pStyle w:val="Header"/>
        <w:tabs>
          <w:tab w:val="clear" w:pos="4320"/>
          <w:tab w:val="clear" w:pos="8640"/>
        </w:tabs>
        <w:spacing w:after="120"/>
        <w:ind w:left="900"/>
        <w:jc w:val="both"/>
        <w:rPr>
          <w:rFonts w:cs="Arial"/>
          <w:sz w:val="22"/>
          <w:szCs w:val="22"/>
          <w:u w:val="single"/>
          <w:lang w:val="en-US"/>
        </w:rPr>
      </w:pPr>
    </w:p>
    <w:p w14:paraId="1F843B89" w14:textId="468642CD" w:rsidR="008C1BA8" w:rsidRPr="00C37A65" w:rsidRDefault="008C1BA8" w:rsidP="008C1BA8">
      <w:pPr>
        <w:rPr>
          <w:b/>
        </w:rPr>
      </w:pPr>
      <w:r>
        <w:rPr>
          <w:b/>
        </w:rPr>
        <w:t>E.</w:t>
      </w:r>
      <w:r>
        <w:rPr>
          <w:b/>
        </w:rPr>
        <w:tab/>
      </w:r>
      <w:r w:rsidRPr="00C37A65">
        <w:rPr>
          <w:b/>
        </w:rPr>
        <w:t>C</w:t>
      </w:r>
      <w:r>
        <w:rPr>
          <w:b/>
        </w:rPr>
        <w:t>onclusion</w:t>
      </w:r>
    </w:p>
    <w:p w14:paraId="2EECAF91" w14:textId="77777777" w:rsidR="008C1BA8" w:rsidRPr="00BC1687" w:rsidRDefault="008C1BA8" w:rsidP="008C1BA8">
      <w:pPr>
        <w:rPr>
          <w:sz w:val="16"/>
          <w:szCs w:val="16"/>
        </w:rPr>
      </w:pPr>
    </w:p>
    <w:p w14:paraId="37C2ADD2" w14:textId="008A5B03" w:rsidR="008C1BA8" w:rsidRDefault="008C1BA8" w:rsidP="008C1BA8">
      <w:pPr>
        <w:pStyle w:val="ListParagraph"/>
        <w:numPr>
          <w:ilvl w:val="0"/>
          <w:numId w:val="11"/>
        </w:numPr>
        <w:ind w:left="1440" w:hanging="720"/>
        <w:jc w:val="both"/>
        <w:rPr>
          <w:szCs w:val="22"/>
        </w:rPr>
      </w:pPr>
      <w:r w:rsidRPr="00C37A65">
        <w:rPr>
          <w:szCs w:val="22"/>
        </w:rPr>
        <w:t xml:space="preserve">This MOU, consisting of </w:t>
      </w:r>
      <w:r w:rsidR="00C8797F">
        <w:rPr>
          <w:szCs w:val="22"/>
        </w:rPr>
        <w:t xml:space="preserve">eight </w:t>
      </w:r>
      <w:r w:rsidRPr="00C37A65">
        <w:rPr>
          <w:szCs w:val="22"/>
        </w:rPr>
        <w:t>(</w:t>
      </w:r>
      <w:r w:rsidR="00C8797F">
        <w:rPr>
          <w:szCs w:val="22"/>
        </w:rPr>
        <w:t>8</w:t>
      </w:r>
      <w:r w:rsidRPr="00C37A65">
        <w:rPr>
          <w:szCs w:val="22"/>
        </w:rPr>
        <w:t>) pages</w:t>
      </w:r>
      <w:r w:rsidR="00934A59">
        <w:rPr>
          <w:szCs w:val="22"/>
        </w:rPr>
        <w:t xml:space="preserve"> and Attachment A</w:t>
      </w:r>
      <w:r w:rsidRPr="00C37A65">
        <w:rPr>
          <w:szCs w:val="22"/>
        </w:rPr>
        <w:t xml:space="preserve">, is the full and complete document describing </w:t>
      </w:r>
      <w:r w:rsidR="00C8797F">
        <w:rPr>
          <w:szCs w:val="22"/>
        </w:rPr>
        <w:t>the parties’ responsibilities and obligations as it relates to the exchange of PHI between the parties under this MOU</w:t>
      </w:r>
      <w:r w:rsidRPr="00C37A65">
        <w:rPr>
          <w:szCs w:val="22"/>
        </w:rPr>
        <w:t>.</w:t>
      </w:r>
    </w:p>
    <w:p w14:paraId="3E76FA55" w14:textId="2C4A4195" w:rsidR="008C1BA8" w:rsidRPr="008C1BA8" w:rsidRDefault="008C1BA8" w:rsidP="008C1BA8">
      <w:pPr>
        <w:pStyle w:val="ListParagraph"/>
        <w:numPr>
          <w:ilvl w:val="0"/>
          <w:numId w:val="11"/>
        </w:numPr>
        <w:ind w:left="1440" w:hanging="720"/>
        <w:jc w:val="both"/>
        <w:rPr>
          <w:szCs w:val="22"/>
        </w:rPr>
      </w:pPr>
      <w:r w:rsidRPr="008C1BA8">
        <w:rPr>
          <w:szCs w:val="22"/>
        </w:rPr>
        <w:t>The signatures of the Parties affixed to this MOU affirm that they are duly authorized to commit and bind their respective departments to the terms and conditions set forth in this document.</w:t>
      </w:r>
    </w:p>
    <w:p w14:paraId="77E56C94" w14:textId="77777777" w:rsidR="0015273F" w:rsidRDefault="0015273F" w:rsidP="009D5E53">
      <w:pPr>
        <w:pStyle w:val="CM6"/>
        <w:spacing w:before="240"/>
        <w:rPr>
          <w:rFonts w:cs="Arial"/>
          <w:b/>
          <w:bCs/>
          <w:sz w:val="22"/>
          <w:szCs w:val="22"/>
        </w:rPr>
      </w:pPr>
    </w:p>
    <w:p w14:paraId="1CCB2D9E" w14:textId="728CA0BB" w:rsidR="009D5E53" w:rsidRPr="008A4736" w:rsidRDefault="009D5E53" w:rsidP="009D5E53">
      <w:pPr>
        <w:pStyle w:val="CM6"/>
        <w:spacing w:before="240"/>
        <w:rPr>
          <w:rFonts w:cs="Arial"/>
          <w:bCs/>
          <w:sz w:val="22"/>
          <w:szCs w:val="22"/>
        </w:rPr>
      </w:pPr>
      <w:r>
        <w:rPr>
          <w:rFonts w:cs="Arial"/>
          <w:b/>
          <w:bCs/>
          <w:sz w:val="22"/>
          <w:szCs w:val="22"/>
        </w:rPr>
        <w:t>IN WITNESS WHEREOF</w:t>
      </w:r>
      <w:r>
        <w:rPr>
          <w:rFonts w:cs="Arial"/>
          <w:bCs/>
          <w:sz w:val="22"/>
          <w:szCs w:val="22"/>
        </w:rPr>
        <w:t xml:space="preserve">, the Covered Entity and </w:t>
      </w:r>
      <w:r w:rsidR="008C1BA8">
        <w:rPr>
          <w:rFonts w:cs="Arial"/>
          <w:bCs/>
          <w:sz w:val="22"/>
          <w:szCs w:val="22"/>
        </w:rPr>
        <w:t xml:space="preserve">Internal </w:t>
      </w:r>
      <w:r>
        <w:rPr>
          <w:rFonts w:cs="Arial"/>
          <w:bCs/>
          <w:sz w:val="22"/>
          <w:szCs w:val="22"/>
        </w:rPr>
        <w:t xml:space="preserve">Business Associate have each caused this </w:t>
      </w:r>
      <w:r w:rsidR="00C8797F">
        <w:rPr>
          <w:rFonts w:cs="Arial"/>
          <w:bCs/>
          <w:sz w:val="22"/>
          <w:szCs w:val="22"/>
        </w:rPr>
        <w:t xml:space="preserve">MOU </w:t>
      </w:r>
      <w:r>
        <w:rPr>
          <w:rFonts w:cs="Arial"/>
          <w:bCs/>
          <w:sz w:val="22"/>
          <w:szCs w:val="22"/>
        </w:rPr>
        <w:t xml:space="preserve">to be subscribed by its respective duly authorized </w:t>
      </w:r>
      <w:r w:rsidR="00C8797F">
        <w:rPr>
          <w:rFonts w:cs="Arial"/>
          <w:bCs/>
          <w:sz w:val="22"/>
          <w:szCs w:val="22"/>
        </w:rPr>
        <w:t>representative</w:t>
      </w:r>
      <w:r>
        <w:rPr>
          <w:rFonts w:cs="Arial"/>
          <w:bCs/>
          <w:sz w:val="22"/>
          <w:szCs w:val="22"/>
        </w:rPr>
        <w:t>, on its behalf</w:t>
      </w:r>
      <w:r w:rsidR="004F0253">
        <w:rPr>
          <w:rFonts w:cs="Arial"/>
          <w:bCs/>
          <w:sz w:val="22"/>
          <w:szCs w:val="22"/>
        </w:rPr>
        <w:t>.</w:t>
      </w:r>
    </w:p>
    <w:p w14:paraId="20086882" w14:textId="709171E5" w:rsidR="009D5E53" w:rsidRDefault="009D5E53" w:rsidP="00AD2E7F">
      <w:pPr>
        <w:rPr>
          <w:szCs w:val="22"/>
        </w:rPr>
      </w:pPr>
    </w:p>
    <w:tbl>
      <w:tblPr>
        <w:tblpPr w:leftFromText="180" w:rightFromText="180" w:vertAnchor="text" w:horzAnchor="page" w:tblpX="865" w:tblpY="339"/>
        <w:tblW w:w="0" w:type="auto"/>
        <w:tblLayout w:type="fixed"/>
        <w:tblLook w:val="04A0" w:firstRow="1" w:lastRow="0" w:firstColumn="1" w:lastColumn="0" w:noHBand="0" w:noVBand="1"/>
      </w:tblPr>
      <w:tblGrid>
        <w:gridCol w:w="236"/>
        <w:gridCol w:w="4335"/>
      </w:tblGrid>
      <w:tr w:rsidR="004F0253" w:rsidRPr="005C74ED" w14:paraId="4AE9C506" w14:textId="77777777" w:rsidTr="005C4A85">
        <w:trPr>
          <w:trHeight w:val="335"/>
        </w:trPr>
        <w:tc>
          <w:tcPr>
            <w:tcW w:w="236" w:type="dxa"/>
          </w:tcPr>
          <w:p w14:paraId="137B7C16"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03540FAB" w14:textId="210A9EC9" w:rsidR="004F0253" w:rsidRPr="005C74ED" w:rsidRDefault="004F0253" w:rsidP="005C4A85">
            <w:pPr>
              <w:tabs>
                <w:tab w:val="left" w:pos="2790"/>
              </w:tabs>
              <w:spacing w:before="120"/>
              <w:rPr>
                <w:rFonts w:cs="Arial"/>
                <w:szCs w:val="22"/>
              </w:rPr>
            </w:pPr>
          </w:p>
        </w:tc>
      </w:tr>
      <w:tr w:rsidR="004F0253" w:rsidRPr="005C74ED" w14:paraId="0A3088A2" w14:textId="77777777" w:rsidTr="005C4A85">
        <w:trPr>
          <w:trHeight w:val="336"/>
        </w:trPr>
        <w:tc>
          <w:tcPr>
            <w:tcW w:w="236" w:type="dxa"/>
          </w:tcPr>
          <w:p w14:paraId="05384FFA"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5C60D74D" w14:textId="77777777" w:rsidR="004F0253" w:rsidRPr="005C74ED" w:rsidRDefault="004F0253" w:rsidP="005C4A85">
            <w:pPr>
              <w:tabs>
                <w:tab w:val="left" w:pos="2790"/>
              </w:tabs>
              <w:rPr>
                <w:rFonts w:cs="Arial"/>
                <w:szCs w:val="22"/>
              </w:rPr>
            </w:pPr>
            <w:r w:rsidRPr="005C74ED">
              <w:rPr>
                <w:rFonts w:cs="Arial"/>
                <w:szCs w:val="22"/>
              </w:rPr>
              <w:t>By ►</w:t>
            </w:r>
          </w:p>
        </w:tc>
      </w:tr>
      <w:tr w:rsidR="004F0253" w:rsidRPr="005C74ED" w14:paraId="61AF403A" w14:textId="77777777" w:rsidTr="005C4A85">
        <w:trPr>
          <w:trHeight w:val="336"/>
        </w:trPr>
        <w:tc>
          <w:tcPr>
            <w:tcW w:w="236" w:type="dxa"/>
          </w:tcPr>
          <w:p w14:paraId="02F6524C"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3EBFDDDD" w14:textId="158AE822" w:rsidR="004F0253" w:rsidRPr="005C74ED" w:rsidRDefault="004F0253" w:rsidP="004F0253">
            <w:pPr>
              <w:tabs>
                <w:tab w:val="left" w:pos="2790"/>
              </w:tabs>
              <w:spacing w:before="120"/>
              <w:rPr>
                <w:rFonts w:cs="Arial"/>
                <w:szCs w:val="22"/>
              </w:rPr>
            </w:pPr>
            <w:r w:rsidRPr="005C74ED">
              <w:rPr>
                <w:rFonts w:cs="Arial"/>
                <w:szCs w:val="22"/>
              </w:rPr>
              <w:t>Name</w:t>
            </w:r>
            <w:r w:rsidRPr="00A11018">
              <w:rPr>
                <w:rFonts w:cs="Arial"/>
                <w:szCs w:val="22"/>
              </w:rPr>
              <w:t xml:space="preserve">:    </w:t>
            </w:r>
          </w:p>
        </w:tc>
      </w:tr>
      <w:tr w:rsidR="004F0253" w:rsidRPr="005C74ED" w14:paraId="6DB7BB39" w14:textId="77777777" w:rsidTr="005C4A85">
        <w:trPr>
          <w:trHeight w:val="336"/>
        </w:trPr>
        <w:tc>
          <w:tcPr>
            <w:tcW w:w="236" w:type="dxa"/>
          </w:tcPr>
          <w:p w14:paraId="1B3FD2DB"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7A88D09B" w14:textId="753F0531" w:rsidR="004F0253" w:rsidRPr="005C74ED" w:rsidRDefault="004F0253" w:rsidP="004F0253">
            <w:pPr>
              <w:tabs>
                <w:tab w:val="left" w:pos="2790"/>
              </w:tabs>
              <w:spacing w:before="120"/>
              <w:rPr>
                <w:rFonts w:cs="Arial"/>
                <w:szCs w:val="22"/>
              </w:rPr>
            </w:pPr>
            <w:r w:rsidRPr="005C74ED">
              <w:rPr>
                <w:rFonts w:cs="Arial"/>
                <w:szCs w:val="22"/>
              </w:rPr>
              <w:t xml:space="preserve">Title:       </w:t>
            </w:r>
          </w:p>
        </w:tc>
      </w:tr>
      <w:tr w:rsidR="004F0253" w:rsidRPr="005C74ED" w14:paraId="6C6CE88E" w14:textId="77777777" w:rsidTr="005C4A85">
        <w:trPr>
          <w:trHeight w:val="333"/>
        </w:trPr>
        <w:tc>
          <w:tcPr>
            <w:tcW w:w="236" w:type="dxa"/>
          </w:tcPr>
          <w:p w14:paraId="3C966FB8"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vAlign w:val="bottom"/>
            <w:hideMark/>
          </w:tcPr>
          <w:p w14:paraId="7248C2FA" w14:textId="77777777" w:rsidR="004F0253" w:rsidRPr="005C74ED" w:rsidRDefault="004F0253" w:rsidP="005C4A85">
            <w:pPr>
              <w:tabs>
                <w:tab w:val="left" w:pos="2790"/>
              </w:tabs>
              <w:rPr>
                <w:rFonts w:cs="Arial"/>
                <w:szCs w:val="22"/>
              </w:rPr>
            </w:pPr>
            <w:r w:rsidRPr="005C74ED">
              <w:rPr>
                <w:rFonts w:cs="Arial"/>
                <w:szCs w:val="22"/>
              </w:rPr>
              <w:t>Dated:</w:t>
            </w:r>
          </w:p>
        </w:tc>
      </w:tr>
      <w:tr w:rsidR="004F0253" w:rsidRPr="005C74ED" w14:paraId="72E53BCD" w14:textId="77777777" w:rsidTr="005C4A85">
        <w:trPr>
          <w:trHeight w:val="335"/>
        </w:trPr>
        <w:tc>
          <w:tcPr>
            <w:tcW w:w="236" w:type="dxa"/>
          </w:tcPr>
          <w:p w14:paraId="3DA8263A" w14:textId="77777777" w:rsidR="004F0253" w:rsidRDefault="004F0253" w:rsidP="005C4A85">
            <w:pPr>
              <w:tabs>
                <w:tab w:val="left" w:pos="2790"/>
              </w:tabs>
              <w:rPr>
                <w:rFonts w:cs="Arial"/>
                <w:szCs w:val="22"/>
              </w:rPr>
            </w:pPr>
          </w:p>
          <w:p w14:paraId="0981CC1E" w14:textId="77777777" w:rsidR="00C8797F" w:rsidRDefault="00C8797F" w:rsidP="005C4A85">
            <w:pPr>
              <w:tabs>
                <w:tab w:val="left" w:pos="2790"/>
              </w:tabs>
              <w:rPr>
                <w:rFonts w:cs="Arial"/>
                <w:szCs w:val="22"/>
              </w:rPr>
            </w:pPr>
          </w:p>
          <w:p w14:paraId="7AE71A94" w14:textId="77777777" w:rsidR="00C8797F" w:rsidRDefault="00C8797F" w:rsidP="005C4A85">
            <w:pPr>
              <w:tabs>
                <w:tab w:val="left" w:pos="2790"/>
              </w:tabs>
              <w:rPr>
                <w:rFonts w:cs="Arial"/>
                <w:szCs w:val="22"/>
              </w:rPr>
            </w:pPr>
          </w:p>
          <w:p w14:paraId="3512EA68" w14:textId="77777777" w:rsidR="00C8797F" w:rsidRDefault="00C8797F" w:rsidP="005C4A85">
            <w:pPr>
              <w:tabs>
                <w:tab w:val="left" w:pos="2790"/>
              </w:tabs>
              <w:rPr>
                <w:rFonts w:cs="Arial"/>
                <w:szCs w:val="22"/>
              </w:rPr>
            </w:pPr>
          </w:p>
          <w:p w14:paraId="66B1055F" w14:textId="77777777" w:rsidR="00C8797F" w:rsidRDefault="00C8797F" w:rsidP="005C4A85">
            <w:pPr>
              <w:tabs>
                <w:tab w:val="left" w:pos="2790"/>
              </w:tabs>
              <w:rPr>
                <w:rFonts w:cs="Arial"/>
                <w:szCs w:val="22"/>
              </w:rPr>
            </w:pPr>
          </w:p>
          <w:p w14:paraId="32B5F613" w14:textId="31B77930" w:rsidR="00C8797F" w:rsidRPr="005C74ED" w:rsidRDefault="00C8797F" w:rsidP="005C4A85">
            <w:pPr>
              <w:tabs>
                <w:tab w:val="left" w:pos="2790"/>
              </w:tabs>
              <w:rPr>
                <w:rFonts w:cs="Arial"/>
                <w:szCs w:val="22"/>
              </w:rPr>
            </w:pPr>
          </w:p>
        </w:tc>
        <w:tc>
          <w:tcPr>
            <w:tcW w:w="4335" w:type="dxa"/>
            <w:tcBorders>
              <w:left w:val="nil"/>
              <w:bottom w:val="single" w:sz="6" w:space="0" w:color="auto"/>
              <w:right w:val="nil"/>
            </w:tcBorders>
            <w:hideMark/>
          </w:tcPr>
          <w:p w14:paraId="376BCFD0" w14:textId="77777777" w:rsidR="004F0253" w:rsidRDefault="004F0253" w:rsidP="005C4A85">
            <w:pPr>
              <w:tabs>
                <w:tab w:val="left" w:pos="2790"/>
              </w:tabs>
              <w:spacing w:before="120"/>
              <w:rPr>
                <w:rFonts w:cs="Arial"/>
                <w:szCs w:val="22"/>
              </w:rPr>
            </w:pPr>
          </w:p>
          <w:p w14:paraId="09ADFD90" w14:textId="5EF6A6DA" w:rsidR="003D3440" w:rsidRPr="005C74ED" w:rsidRDefault="003D3440" w:rsidP="005C4A85">
            <w:pPr>
              <w:tabs>
                <w:tab w:val="left" w:pos="2790"/>
              </w:tabs>
              <w:spacing w:before="120"/>
              <w:rPr>
                <w:rFonts w:cs="Arial"/>
                <w:szCs w:val="22"/>
              </w:rPr>
            </w:pPr>
          </w:p>
        </w:tc>
      </w:tr>
      <w:tr w:rsidR="004F0253" w:rsidRPr="005C74ED" w14:paraId="3617ED39" w14:textId="77777777" w:rsidTr="005C4A85">
        <w:trPr>
          <w:trHeight w:val="336"/>
        </w:trPr>
        <w:tc>
          <w:tcPr>
            <w:tcW w:w="236" w:type="dxa"/>
          </w:tcPr>
          <w:p w14:paraId="5F34140B"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6BF1CB7A" w14:textId="77777777" w:rsidR="004F0253" w:rsidRPr="005C74ED" w:rsidRDefault="004F0253" w:rsidP="005C4A85">
            <w:pPr>
              <w:tabs>
                <w:tab w:val="left" w:pos="2790"/>
              </w:tabs>
              <w:rPr>
                <w:rFonts w:cs="Arial"/>
                <w:szCs w:val="22"/>
              </w:rPr>
            </w:pPr>
            <w:r w:rsidRPr="005C74ED">
              <w:rPr>
                <w:rFonts w:cs="Arial"/>
                <w:szCs w:val="22"/>
              </w:rPr>
              <w:t>By ►</w:t>
            </w:r>
          </w:p>
        </w:tc>
      </w:tr>
      <w:tr w:rsidR="004F0253" w:rsidRPr="005C74ED" w14:paraId="20561A0C" w14:textId="77777777" w:rsidTr="005C4A85">
        <w:trPr>
          <w:trHeight w:val="336"/>
        </w:trPr>
        <w:tc>
          <w:tcPr>
            <w:tcW w:w="236" w:type="dxa"/>
          </w:tcPr>
          <w:p w14:paraId="4EF47EBF"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14AF3377" w14:textId="512383C3" w:rsidR="004F0253" w:rsidRPr="005C74ED" w:rsidRDefault="004F0253" w:rsidP="004F0253">
            <w:pPr>
              <w:tabs>
                <w:tab w:val="left" w:pos="2790"/>
              </w:tabs>
              <w:spacing w:before="120"/>
              <w:rPr>
                <w:rFonts w:cs="Arial"/>
                <w:szCs w:val="22"/>
              </w:rPr>
            </w:pPr>
            <w:r w:rsidRPr="005C74ED">
              <w:rPr>
                <w:rFonts w:cs="Arial"/>
                <w:szCs w:val="22"/>
              </w:rPr>
              <w:t xml:space="preserve">Name:     </w:t>
            </w:r>
          </w:p>
        </w:tc>
      </w:tr>
      <w:tr w:rsidR="004F0253" w:rsidRPr="005C74ED" w14:paraId="69732E1D" w14:textId="77777777" w:rsidTr="005C4A85">
        <w:trPr>
          <w:trHeight w:val="336"/>
        </w:trPr>
        <w:tc>
          <w:tcPr>
            <w:tcW w:w="236" w:type="dxa"/>
          </w:tcPr>
          <w:p w14:paraId="22321295"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hideMark/>
          </w:tcPr>
          <w:p w14:paraId="75FF97E5" w14:textId="38B1075C" w:rsidR="004F0253" w:rsidRPr="005C74ED" w:rsidRDefault="004F0253" w:rsidP="004F0253">
            <w:pPr>
              <w:tabs>
                <w:tab w:val="left" w:pos="2790"/>
              </w:tabs>
              <w:spacing w:before="120"/>
              <w:rPr>
                <w:rFonts w:cs="Arial"/>
                <w:szCs w:val="22"/>
              </w:rPr>
            </w:pPr>
            <w:r w:rsidRPr="005C74ED">
              <w:rPr>
                <w:rFonts w:cs="Arial"/>
                <w:szCs w:val="22"/>
              </w:rPr>
              <w:t xml:space="preserve">Title:        </w:t>
            </w:r>
          </w:p>
        </w:tc>
      </w:tr>
      <w:tr w:rsidR="004F0253" w:rsidRPr="005C74ED" w14:paraId="5BC30A05" w14:textId="77777777" w:rsidTr="005C4A85">
        <w:trPr>
          <w:trHeight w:val="333"/>
        </w:trPr>
        <w:tc>
          <w:tcPr>
            <w:tcW w:w="236" w:type="dxa"/>
          </w:tcPr>
          <w:p w14:paraId="02BD0D8B" w14:textId="77777777" w:rsidR="004F0253" w:rsidRPr="005C74ED" w:rsidRDefault="004F0253" w:rsidP="005C4A85">
            <w:pPr>
              <w:tabs>
                <w:tab w:val="left" w:pos="2790"/>
              </w:tabs>
              <w:rPr>
                <w:rFonts w:cs="Arial"/>
                <w:szCs w:val="22"/>
              </w:rPr>
            </w:pPr>
          </w:p>
        </w:tc>
        <w:tc>
          <w:tcPr>
            <w:tcW w:w="4335" w:type="dxa"/>
            <w:tcBorders>
              <w:top w:val="nil"/>
              <w:left w:val="nil"/>
              <w:bottom w:val="single" w:sz="6" w:space="0" w:color="auto"/>
              <w:right w:val="nil"/>
            </w:tcBorders>
            <w:vAlign w:val="bottom"/>
            <w:hideMark/>
          </w:tcPr>
          <w:p w14:paraId="29BD3C67" w14:textId="77777777" w:rsidR="004F0253" w:rsidRPr="005C74ED" w:rsidRDefault="004F0253" w:rsidP="005C4A85">
            <w:pPr>
              <w:tabs>
                <w:tab w:val="left" w:pos="2790"/>
              </w:tabs>
              <w:rPr>
                <w:rFonts w:cs="Arial"/>
                <w:szCs w:val="22"/>
              </w:rPr>
            </w:pPr>
            <w:r w:rsidRPr="005C74ED">
              <w:rPr>
                <w:rFonts w:cs="Arial"/>
                <w:szCs w:val="22"/>
              </w:rPr>
              <w:t>Dated:</w:t>
            </w:r>
          </w:p>
        </w:tc>
      </w:tr>
    </w:tbl>
    <w:p w14:paraId="16CB5B53" w14:textId="56D23C29" w:rsidR="004F0253" w:rsidRDefault="004F0253" w:rsidP="00AD2E7F">
      <w:pPr>
        <w:rPr>
          <w:szCs w:val="22"/>
        </w:rPr>
      </w:pPr>
    </w:p>
    <w:p w14:paraId="5A5ACD77" w14:textId="68893448" w:rsidR="00934A59" w:rsidRDefault="00934A59" w:rsidP="00AD2E7F">
      <w:pPr>
        <w:rPr>
          <w:szCs w:val="22"/>
        </w:rPr>
      </w:pPr>
    </w:p>
    <w:p w14:paraId="72A79721" w14:textId="225DB930" w:rsidR="00934A59" w:rsidRDefault="00934A59" w:rsidP="00AD2E7F">
      <w:pPr>
        <w:rPr>
          <w:szCs w:val="22"/>
        </w:rPr>
      </w:pPr>
    </w:p>
    <w:p w14:paraId="00962502" w14:textId="1B16648B" w:rsidR="00934A59" w:rsidRDefault="00934A59" w:rsidP="00AD2E7F">
      <w:pPr>
        <w:rPr>
          <w:szCs w:val="22"/>
        </w:rPr>
      </w:pPr>
    </w:p>
    <w:p w14:paraId="451BDF6B" w14:textId="5956F6AE" w:rsidR="00934A59" w:rsidRDefault="00934A59" w:rsidP="00AD2E7F">
      <w:pPr>
        <w:rPr>
          <w:szCs w:val="22"/>
        </w:rPr>
      </w:pPr>
    </w:p>
    <w:p w14:paraId="78425B75" w14:textId="24BB8713" w:rsidR="00934A59" w:rsidRDefault="00934A59" w:rsidP="00AD2E7F">
      <w:pPr>
        <w:rPr>
          <w:szCs w:val="22"/>
        </w:rPr>
      </w:pPr>
    </w:p>
    <w:p w14:paraId="4939A936" w14:textId="441D5721" w:rsidR="00934A59" w:rsidRDefault="00934A59" w:rsidP="00AD2E7F">
      <w:pPr>
        <w:rPr>
          <w:szCs w:val="22"/>
        </w:rPr>
      </w:pPr>
    </w:p>
    <w:p w14:paraId="34A47703" w14:textId="247688C1" w:rsidR="00934A59" w:rsidRDefault="00934A59" w:rsidP="00AD2E7F">
      <w:pPr>
        <w:rPr>
          <w:szCs w:val="22"/>
        </w:rPr>
      </w:pPr>
    </w:p>
    <w:p w14:paraId="726925B5" w14:textId="46D8898A" w:rsidR="00934A59" w:rsidRDefault="00934A59" w:rsidP="00AD2E7F">
      <w:pPr>
        <w:rPr>
          <w:szCs w:val="22"/>
        </w:rPr>
      </w:pPr>
    </w:p>
    <w:p w14:paraId="7C21457A" w14:textId="23734B10" w:rsidR="00934A59" w:rsidRDefault="00934A59" w:rsidP="00AD2E7F">
      <w:pPr>
        <w:rPr>
          <w:szCs w:val="22"/>
        </w:rPr>
      </w:pPr>
    </w:p>
    <w:p w14:paraId="19137477" w14:textId="1A67AFEE" w:rsidR="00934A59" w:rsidRDefault="00934A59" w:rsidP="00AD2E7F">
      <w:pPr>
        <w:rPr>
          <w:szCs w:val="22"/>
        </w:rPr>
      </w:pPr>
    </w:p>
    <w:p w14:paraId="16D507DE" w14:textId="059B914A" w:rsidR="00934A59" w:rsidRDefault="00934A59" w:rsidP="00AD2E7F">
      <w:pPr>
        <w:rPr>
          <w:szCs w:val="22"/>
        </w:rPr>
      </w:pPr>
    </w:p>
    <w:p w14:paraId="3C217BDB" w14:textId="6B994E55" w:rsidR="00934A59" w:rsidRDefault="00934A59" w:rsidP="00AD2E7F">
      <w:pPr>
        <w:rPr>
          <w:szCs w:val="22"/>
        </w:rPr>
      </w:pPr>
    </w:p>
    <w:p w14:paraId="735F018C" w14:textId="1ECB3CA4" w:rsidR="00934A59" w:rsidRDefault="00934A59" w:rsidP="00AD2E7F">
      <w:pPr>
        <w:rPr>
          <w:szCs w:val="22"/>
        </w:rPr>
      </w:pPr>
    </w:p>
    <w:p w14:paraId="75E21EE4" w14:textId="7EC7FD52" w:rsidR="00934A59" w:rsidRDefault="00934A59" w:rsidP="00AD2E7F">
      <w:pPr>
        <w:rPr>
          <w:szCs w:val="22"/>
        </w:rPr>
      </w:pPr>
    </w:p>
    <w:p w14:paraId="594E3397" w14:textId="281E0AFD" w:rsidR="00934A59" w:rsidRDefault="00934A59" w:rsidP="00AD2E7F">
      <w:pPr>
        <w:rPr>
          <w:szCs w:val="22"/>
        </w:rPr>
      </w:pPr>
    </w:p>
    <w:p w14:paraId="23984B4D" w14:textId="248D9613" w:rsidR="00934A59" w:rsidRDefault="00934A59" w:rsidP="00AD2E7F">
      <w:pPr>
        <w:rPr>
          <w:szCs w:val="22"/>
        </w:rPr>
      </w:pPr>
    </w:p>
    <w:p w14:paraId="66C32D38" w14:textId="68AAA0C5" w:rsidR="00934A59" w:rsidRDefault="00934A59" w:rsidP="00AD2E7F">
      <w:pPr>
        <w:rPr>
          <w:szCs w:val="22"/>
        </w:rPr>
      </w:pPr>
    </w:p>
    <w:p w14:paraId="74E6A730" w14:textId="4FA8E5C8" w:rsidR="00934A59" w:rsidRDefault="00934A59" w:rsidP="00AD2E7F">
      <w:pPr>
        <w:rPr>
          <w:szCs w:val="22"/>
        </w:rPr>
      </w:pPr>
    </w:p>
    <w:p w14:paraId="1D84018D" w14:textId="6C3C342B" w:rsidR="00934A59" w:rsidRDefault="00934A59" w:rsidP="00AD2E7F">
      <w:pPr>
        <w:rPr>
          <w:szCs w:val="22"/>
        </w:rPr>
      </w:pPr>
    </w:p>
    <w:p w14:paraId="5CAA4D6E" w14:textId="0C695FE3" w:rsidR="00934A59" w:rsidRDefault="00934A59" w:rsidP="00AD2E7F">
      <w:pPr>
        <w:rPr>
          <w:szCs w:val="22"/>
        </w:rPr>
      </w:pPr>
    </w:p>
    <w:p w14:paraId="419042A9" w14:textId="565A13E7" w:rsidR="00934A59" w:rsidRDefault="00934A59" w:rsidP="00AD2E7F">
      <w:pPr>
        <w:rPr>
          <w:szCs w:val="22"/>
        </w:rPr>
      </w:pPr>
    </w:p>
    <w:p w14:paraId="58BA5BD5" w14:textId="0061EF32" w:rsidR="00934A59" w:rsidRDefault="00934A59" w:rsidP="00AD2E7F">
      <w:pPr>
        <w:rPr>
          <w:szCs w:val="22"/>
        </w:rPr>
      </w:pPr>
    </w:p>
    <w:p w14:paraId="48220B75" w14:textId="5D1E6D7B" w:rsidR="00934A59" w:rsidRDefault="00934A59" w:rsidP="00AD2E7F">
      <w:pPr>
        <w:rPr>
          <w:szCs w:val="22"/>
        </w:rPr>
      </w:pPr>
    </w:p>
    <w:p w14:paraId="735AF813" w14:textId="03EBDC6E" w:rsidR="00934A59" w:rsidRDefault="00934A59" w:rsidP="00AD2E7F">
      <w:pPr>
        <w:rPr>
          <w:szCs w:val="22"/>
        </w:rPr>
      </w:pPr>
    </w:p>
    <w:p w14:paraId="0A740E41" w14:textId="2153801F" w:rsidR="00934A59" w:rsidRDefault="00934A59" w:rsidP="00AD2E7F">
      <w:pPr>
        <w:rPr>
          <w:szCs w:val="22"/>
        </w:rPr>
      </w:pPr>
    </w:p>
    <w:p w14:paraId="1B66FB0F" w14:textId="6A609B25" w:rsidR="00934A59" w:rsidRDefault="00934A59" w:rsidP="00AD2E7F">
      <w:pPr>
        <w:rPr>
          <w:szCs w:val="22"/>
        </w:rPr>
      </w:pPr>
      <w:r>
        <w:rPr>
          <w:szCs w:val="22"/>
        </w:rPr>
        <w:br/>
      </w:r>
    </w:p>
    <w:p w14:paraId="172CDADF" w14:textId="77777777" w:rsidR="00934A59" w:rsidRDefault="00934A59">
      <w:pPr>
        <w:spacing w:after="160" w:line="259" w:lineRule="auto"/>
        <w:rPr>
          <w:szCs w:val="22"/>
        </w:rPr>
      </w:pPr>
      <w:r>
        <w:rPr>
          <w:szCs w:val="22"/>
        </w:rPr>
        <w:br w:type="page"/>
      </w:r>
    </w:p>
    <w:p w14:paraId="2ED55D3A" w14:textId="77777777" w:rsidR="00934A59" w:rsidRPr="00B93773" w:rsidRDefault="00934A59" w:rsidP="00934A59">
      <w:pPr>
        <w:pStyle w:val="Header"/>
        <w:widowControl w:val="0"/>
        <w:tabs>
          <w:tab w:val="clear" w:pos="4320"/>
          <w:tab w:val="clear" w:pos="8640"/>
        </w:tabs>
        <w:ind w:hanging="720"/>
        <w:rPr>
          <w:rFonts w:cs="Arial"/>
          <w:b/>
          <w:caps/>
          <w:sz w:val="22"/>
          <w:szCs w:val="22"/>
        </w:rPr>
      </w:pPr>
    </w:p>
    <w:p w14:paraId="4A664719" w14:textId="47050D4C" w:rsidR="00934A59" w:rsidRPr="00913D41" w:rsidRDefault="00934A59" w:rsidP="00934A59">
      <w:pPr>
        <w:pStyle w:val="10sp0"/>
        <w:spacing w:after="0"/>
        <w:ind w:left="630"/>
        <w:jc w:val="center"/>
        <w:rPr>
          <w:rFonts w:ascii="Arial" w:hAnsi="Arial"/>
          <w:b/>
          <w:sz w:val="20"/>
          <w:u w:val="single"/>
        </w:rPr>
      </w:pPr>
      <w:r w:rsidRPr="00913D41">
        <w:rPr>
          <w:rFonts w:ascii="Arial" w:hAnsi="Arial"/>
          <w:b/>
          <w:sz w:val="20"/>
          <w:u w:val="single"/>
        </w:rPr>
        <w:t xml:space="preserve">ATTACHMENT </w:t>
      </w:r>
      <w:r>
        <w:rPr>
          <w:rFonts w:ascii="Arial" w:hAnsi="Arial"/>
          <w:b/>
          <w:sz w:val="20"/>
          <w:u w:val="single"/>
        </w:rPr>
        <w:t>A</w:t>
      </w:r>
    </w:p>
    <w:p w14:paraId="50C2596E" w14:textId="77777777" w:rsidR="00934A59" w:rsidRPr="00913D41" w:rsidRDefault="00934A59" w:rsidP="00934A59">
      <w:pPr>
        <w:suppressAutoHyphens/>
        <w:ind w:left="630"/>
        <w:jc w:val="center"/>
        <w:rPr>
          <w:rFonts w:eastAsia="SimSun" w:cs="Arial"/>
          <w:b/>
        </w:rPr>
      </w:pPr>
      <w:r w:rsidRPr="00913D41">
        <w:rPr>
          <w:rFonts w:cs="Arial"/>
          <w:b/>
        </w:rPr>
        <w:t>CLOUD SERVICES TERMS AND CONDITIONS</w:t>
      </w:r>
    </w:p>
    <w:p w14:paraId="4AEDB883" w14:textId="77777777" w:rsidR="00934A59" w:rsidRPr="00913D41" w:rsidRDefault="00934A59" w:rsidP="00934A59">
      <w:pPr>
        <w:widowControl w:val="0"/>
        <w:ind w:left="630"/>
        <w:jc w:val="both"/>
        <w:rPr>
          <w:rFonts w:cs="Arial"/>
          <w:bCs/>
        </w:rPr>
      </w:pPr>
    </w:p>
    <w:p w14:paraId="1CCC547B" w14:textId="75234813" w:rsidR="00934A59" w:rsidRPr="00913D41" w:rsidRDefault="00934A59" w:rsidP="00934A59">
      <w:pPr>
        <w:widowControl w:val="0"/>
        <w:jc w:val="both"/>
        <w:rPr>
          <w:rFonts w:cs="Arial"/>
        </w:rPr>
      </w:pPr>
      <w:r w:rsidRPr="00913D41">
        <w:rPr>
          <w:rFonts w:cs="Arial"/>
        </w:rPr>
        <w:t xml:space="preserve">These Cloud Services Terms and Conditions are attached to, form a part of, and supplement the </w:t>
      </w:r>
      <w:r>
        <w:rPr>
          <w:rFonts w:cs="Arial"/>
        </w:rPr>
        <w:t>MOU</w:t>
      </w:r>
      <w:r>
        <w:rPr>
          <w:rFonts w:cs="Arial"/>
        </w:rPr>
        <w:t xml:space="preserve"> between CE and BA</w:t>
      </w:r>
      <w:r w:rsidRPr="00913D41">
        <w:rPr>
          <w:rFonts w:cs="Arial"/>
        </w:rPr>
        <w:t xml:space="preserve"> only with respect to </w:t>
      </w:r>
      <w:r>
        <w:rPr>
          <w:rFonts w:cs="Arial"/>
        </w:rPr>
        <w:t xml:space="preserve">ePHI stored with </w:t>
      </w:r>
      <w:r w:rsidRPr="00913D41">
        <w:rPr>
          <w:rFonts w:cs="Arial"/>
        </w:rPr>
        <w:t>cloud services.</w:t>
      </w:r>
    </w:p>
    <w:p w14:paraId="65D1B2D2" w14:textId="77777777" w:rsidR="00934A59" w:rsidRPr="00913D41" w:rsidRDefault="00934A59" w:rsidP="00934A59">
      <w:pPr>
        <w:widowControl w:val="0"/>
        <w:jc w:val="both"/>
        <w:rPr>
          <w:rFonts w:cs="Arial"/>
        </w:rPr>
      </w:pPr>
    </w:p>
    <w:p w14:paraId="38C60EB6" w14:textId="77777777" w:rsidR="00934A59" w:rsidRPr="00913D41" w:rsidRDefault="00934A59" w:rsidP="00934A59">
      <w:pPr>
        <w:keepNext/>
        <w:widowControl w:val="0"/>
        <w:numPr>
          <w:ilvl w:val="0"/>
          <w:numId w:val="15"/>
        </w:numPr>
        <w:ind w:left="360"/>
        <w:jc w:val="both"/>
        <w:rPr>
          <w:rFonts w:cs="Arial"/>
          <w:b/>
        </w:rPr>
      </w:pPr>
      <w:r w:rsidRPr="00913D41">
        <w:rPr>
          <w:rFonts w:cs="Arial"/>
          <w:b/>
        </w:rPr>
        <w:t>DEFINITIONS</w:t>
      </w:r>
    </w:p>
    <w:p w14:paraId="212F2F97" w14:textId="05B9808D" w:rsidR="00934A59" w:rsidRPr="00913D41" w:rsidRDefault="00934A59" w:rsidP="00934A59">
      <w:pPr>
        <w:widowControl w:val="0"/>
        <w:jc w:val="both"/>
        <w:rPr>
          <w:rFonts w:cs="Arial"/>
        </w:rPr>
      </w:pPr>
      <w:r w:rsidRPr="00913D41">
        <w:rPr>
          <w:rFonts w:cs="Arial"/>
        </w:rPr>
        <w:t xml:space="preserve">Capitalized terms used herein have the same meaning as ascribed in the </w:t>
      </w:r>
      <w:r>
        <w:rPr>
          <w:rFonts w:cs="Arial"/>
        </w:rPr>
        <w:t>MOU</w:t>
      </w:r>
      <w:r w:rsidRPr="00913D41">
        <w:rPr>
          <w:rFonts w:cs="Arial"/>
        </w:rPr>
        <w:t>. In addition, the following capitalized terms shall have the meaning ascribed herein:</w:t>
      </w:r>
    </w:p>
    <w:p w14:paraId="2A4174AC" w14:textId="77777777" w:rsidR="00934A59" w:rsidRPr="00913D41" w:rsidRDefault="00934A59" w:rsidP="00934A59">
      <w:pPr>
        <w:widowControl w:val="0"/>
        <w:jc w:val="both"/>
        <w:rPr>
          <w:rFonts w:cs="Arial"/>
        </w:rPr>
      </w:pPr>
    </w:p>
    <w:p w14:paraId="2C25A288"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“CISO”: County Chief Information Security Officer or other County-designated officer responsible for cyber-infrastructure security.</w:t>
      </w:r>
    </w:p>
    <w:p w14:paraId="3AD91027" w14:textId="31E5DEB2"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“Cloud Service”: Generally, SaaS, PaaS, and/or IaaS</w:t>
      </w:r>
      <w:r>
        <w:rPr>
          <w:rFonts w:cs="Arial"/>
        </w:rPr>
        <w:t xml:space="preserve"> used to store ePHI</w:t>
      </w:r>
      <w:r w:rsidRPr="00913D41">
        <w:rPr>
          <w:rFonts w:cs="Arial"/>
        </w:rPr>
        <w:t>.</w:t>
      </w:r>
    </w:p>
    <w:p w14:paraId="344D6C5B"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“CSP”: Cloud Service Provider is the contracted derivative or direct provider of Cloud Services.</w:t>
      </w:r>
    </w:p>
    <w:p w14:paraId="19429DC7"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“CONUS”: Continental United States</w:t>
      </w:r>
    </w:p>
    <w:p w14:paraId="2BAB900B"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“County Data”: Any information, formulae, algorithms, or other content that County, County’s employees, agents and end users upload, create or modify using the SaaS pursuant to this Contract.  County Data also includes user identification information, personally identifiable information, and metadata which may contain County Data or from which County Data may be ascertainable.</w:t>
      </w:r>
    </w:p>
    <w:p w14:paraId="6FC1CB0A"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“Data Breach”: Any access, destruction, loss, theft, use, modification or disclosure of County Data by an unauthorized party or that is in violation of Contract terms and/or applicable state or federal law.</w:t>
      </w:r>
    </w:p>
    <w:p w14:paraId="78971EB0"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“IaaS” (Infrastructure as a Service): Service Provider provides the underlying cloud infrastructure for processing, storage, networks, and other fundamental computing resources that the customer does not manage or control, but the customer has control over operating systems; storage, deployed applications, and possibly limited control of select networking components (e.g., host firewalls).</w:t>
      </w:r>
    </w:p>
    <w:p w14:paraId="5881410B"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“PaaS” (Platform as a Service): Applications running on a cloud infrastructure managed or controlled by the Service Provider that are client-created or acquired using programming languages and tools supported by the Service Provider, but deployed onto the cloud infrastructure and controlled by client.</w:t>
      </w:r>
    </w:p>
    <w:p w14:paraId="71A92D9E"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“Recovery Point Objective (RPO)”: The point in time at which County Data can be recovered and/or systems restored when service is restored after an interruption. The Recovery Point Objective is expressed as a length of time between the interruption and the most proximate backup of County Data immediately preceding the interruption.  The RPO is detailed in the SLA.</w:t>
      </w:r>
    </w:p>
    <w:p w14:paraId="0247F273"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“Recovery Time Objective (RTO)”: The period of time within which information technology services, systems, applications and functions must be recovered following an unplanned interruption. The RTO is detailed in the SLA.</w:t>
      </w:r>
    </w:p>
    <w:p w14:paraId="1D2CD68F"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 xml:space="preserve">“SaaS” (Software as a Service): Applications running on a cloud infrastructure managed or controlled by the Service Provider including network, servers, operating systems, or storage, that are accessed </w:t>
      </w:r>
      <w:r w:rsidRPr="00913D41">
        <w:rPr>
          <w:rFonts w:cs="Arial"/>
        </w:rPr>
        <w:lastRenderedPageBreak/>
        <w:t>by client devices through a thin client interface such as a web browser.</w:t>
      </w:r>
    </w:p>
    <w:p w14:paraId="350850D9" w14:textId="77777777" w:rsidR="00934A59" w:rsidRPr="00913D41" w:rsidRDefault="00934A59" w:rsidP="00934A59">
      <w:pPr>
        <w:keepNext/>
        <w:widowControl w:val="0"/>
        <w:numPr>
          <w:ilvl w:val="1"/>
          <w:numId w:val="15"/>
        </w:numPr>
        <w:spacing w:after="240"/>
        <w:ind w:left="900" w:hanging="540"/>
        <w:jc w:val="both"/>
        <w:rPr>
          <w:rFonts w:cs="Arial"/>
        </w:rPr>
      </w:pPr>
      <w:r w:rsidRPr="00913D41">
        <w:rPr>
          <w:rFonts w:cs="Arial"/>
        </w:rPr>
        <w:t>“Service Provider”: Contractor, as defined in the General Terms or the individual or entity that is the owner of the rights to the Software.</w:t>
      </w:r>
    </w:p>
    <w:p w14:paraId="1B1272DF" w14:textId="77777777" w:rsidR="00934A59" w:rsidRPr="00913D41" w:rsidRDefault="00934A59" w:rsidP="00934A59">
      <w:pPr>
        <w:keepNext/>
        <w:widowControl w:val="0"/>
        <w:numPr>
          <w:ilvl w:val="0"/>
          <w:numId w:val="15"/>
        </w:numPr>
        <w:ind w:left="360"/>
        <w:jc w:val="both"/>
        <w:rPr>
          <w:rFonts w:cs="Arial"/>
          <w:b/>
        </w:rPr>
      </w:pPr>
      <w:r w:rsidRPr="00913D41">
        <w:rPr>
          <w:rFonts w:cs="Arial"/>
          <w:b/>
        </w:rPr>
        <w:t>CLOUD SERVICE AVAILABILITY</w:t>
      </w:r>
    </w:p>
    <w:p w14:paraId="2DCD86EA" w14:textId="77777777" w:rsidR="00934A59" w:rsidRPr="00913D41" w:rsidRDefault="00934A59" w:rsidP="00934A59">
      <w:pPr>
        <w:widowControl w:val="0"/>
        <w:spacing w:after="240"/>
        <w:ind w:left="360"/>
        <w:jc w:val="both"/>
        <w:rPr>
          <w:rFonts w:cs="Arial"/>
        </w:rPr>
      </w:pPr>
      <w:r w:rsidRPr="00913D41">
        <w:rPr>
          <w:rFonts w:cs="Arial"/>
        </w:rPr>
        <w:t>The Cloud Service shall be available twenty-four (24) hours per day, 365/366 days per year. If Cloud Service monthly availability averages less than 99.99% (excluding agreed-upon maintenance downtime), County shall be entitled to recover damages, apply credits or use other contractual remedies as set forth in the SLA. If Cloud Service monthly availability averages less than 99.99% (excluding agreed-upon maintenance downtime), for three (3) or more months in a rolling twelve-month period, County may terminate the contract for material breach. Service Provider shall provide advance written notice to County of any major upgrades or changes that will affect the Cloud Service availability.</w:t>
      </w:r>
    </w:p>
    <w:p w14:paraId="40BD97CC" w14:textId="77777777" w:rsidR="00934A59" w:rsidRPr="00913D41" w:rsidRDefault="00934A59" w:rsidP="00934A59">
      <w:pPr>
        <w:keepNext/>
        <w:widowControl w:val="0"/>
        <w:numPr>
          <w:ilvl w:val="0"/>
          <w:numId w:val="15"/>
        </w:numPr>
        <w:ind w:left="360"/>
        <w:jc w:val="both"/>
        <w:rPr>
          <w:rFonts w:cs="Arial"/>
          <w:b/>
        </w:rPr>
      </w:pPr>
      <w:r w:rsidRPr="00913D41">
        <w:rPr>
          <w:rFonts w:cs="Arial"/>
          <w:b/>
        </w:rPr>
        <w:t>DATA AVAILABILITY</w:t>
      </w:r>
    </w:p>
    <w:p w14:paraId="44755051" w14:textId="77777777" w:rsidR="00934A59" w:rsidRPr="00913D41" w:rsidRDefault="00934A59" w:rsidP="00934A59">
      <w:pPr>
        <w:widowControl w:val="0"/>
        <w:spacing w:after="240"/>
        <w:ind w:left="360"/>
        <w:jc w:val="both"/>
        <w:rPr>
          <w:rFonts w:cs="Arial"/>
        </w:rPr>
      </w:pPr>
      <w:r w:rsidRPr="00913D41">
        <w:rPr>
          <w:rFonts w:cs="Arial"/>
        </w:rPr>
        <w:t>County Data shall be available twenty-four (24) hours per day, 365/366 days per year. If County Data monthly availability averages less than 99.99% (excluding agreed-upon maintenance downtime), County shall be entitled to recover damages, apply credits or use other contractual remedies as set forth in the SLA if County is unable to access County Data as a result of: (i) acts or omission of Service Provider; (ii) acts or omissions of third parties working on behalf of Service Provider; (iii) network compromise, network intrusion, hacks, introduction of viruses, disabling devices, malware and other forms of attack that can disrupt access to Service Provider’s server, to the extent such attack would have been prevented by Service Provider taking reasonable industry standard precautions; (iv) power outages or other telecommunications or Internet failures, to the extent such outages were within Service Provider’s direct or express control. If County Data monthly availability averages less than 99.99% (excluding agreed-upon maintenance downtime), for three (3) or more months in a rolling twelve-month period, County may terminate the contract for material breach in accordance with the Termination for Default provision in the General Provisions – Information Technology.</w:t>
      </w:r>
    </w:p>
    <w:p w14:paraId="6396F9C8" w14:textId="77777777" w:rsidR="00934A59" w:rsidRPr="00913D41" w:rsidRDefault="00934A59" w:rsidP="00934A59">
      <w:pPr>
        <w:keepNext/>
        <w:widowControl w:val="0"/>
        <w:numPr>
          <w:ilvl w:val="0"/>
          <w:numId w:val="15"/>
        </w:numPr>
        <w:ind w:left="360"/>
        <w:jc w:val="both"/>
        <w:rPr>
          <w:rFonts w:cs="Arial"/>
          <w:b/>
        </w:rPr>
      </w:pPr>
      <w:r w:rsidRPr="00913D41">
        <w:rPr>
          <w:rFonts w:cs="Arial"/>
          <w:b/>
        </w:rPr>
        <w:t>SaaS and SECURITY</w:t>
      </w:r>
    </w:p>
    <w:p w14:paraId="31F95D00" w14:textId="77777777" w:rsidR="00934A59" w:rsidRPr="00913D41" w:rsidRDefault="00934A59" w:rsidP="00934A59">
      <w:pPr>
        <w:widowControl w:val="0"/>
        <w:tabs>
          <w:tab w:val="left" w:pos="360"/>
        </w:tabs>
        <w:jc w:val="both"/>
        <w:rPr>
          <w:rFonts w:cs="Arial"/>
        </w:rPr>
      </w:pPr>
    </w:p>
    <w:p w14:paraId="46719FB1"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Certification</w:t>
      </w:r>
    </w:p>
    <w:p w14:paraId="10082936" w14:textId="77777777" w:rsidR="00934A59" w:rsidRPr="00913D41" w:rsidRDefault="00934A59" w:rsidP="00934A59">
      <w:pPr>
        <w:widowControl w:val="0"/>
        <w:spacing w:after="240"/>
        <w:ind w:left="900"/>
        <w:jc w:val="both"/>
        <w:rPr>
          <w:rFonts w:cs="Arial"/>
        </w:rPr>
      </w:pPr>
      <w:r w:rsidRPr="00913D41">
        <w:rPr>
          <w:rFonts w:cs="Arial"/>
        </w:rPr>
        <w:t>Service Provider shall certify:</w:t>
      </w:r>
    </w:p>
    <w:p w14:paraId="2421C347" w14:textId="77777777" w:rsidR="00934A59" w:rsidRPr="00913D41" w:rsidRDefault="00934A59" w:rsidP="00934A59">
      <w:pPr>
        <w:widowControl w:val="0"/>
        <w:numPr>
          <w:ilvl w:val="2"/>
          <w:numId w:val="14"/>
        </w:numPr>
        <w:spacing w:after="120"/>
        <w:ind w:left="1584" w:hanging="720"/>
        <w:jc w:val="both"/>
        <w:rPr>
          <w:rFonts w:cs="Arial"/>
        </w:rPr>
      </w:pPr>
      <w:r w:rsidRPr="00913D41">
        <w:rPr>
          <w:rFonts w:cs="Arial"/>
        </w:rPr>
        <w:t>the sufficiency of its security standards, tools, technologies and procedures in providing SaaS under this Contract, and, if requested by County, provide a copy of its Statement on Standards for Attestation Engagements (SSAE) 18 Service Organization Control (SOC) 2 Type II audit results;</w:t>
      </w:r>
    </w:p>
    <w:p w14:paraId="3E4D3949" w14:textId="77777777" w:rsidR="00934A59" w:rsidRPr="00913D41" w:rsidRDefault="00934A59" w:rsidP="00934A59">
      <w:pPr>
        <w:widowControl w:val="0"/>
        <w:numPr>
          <w:ilvl w:val="2"/>
          <w:numId w:val="14"/>
        </w:numPr>
        <w:spacing w:after="120"/>
        <w:ind w:left="1584" w:hanging="720"/>
        <w:jc w:val="both"/>
        <w:rPr>
          <w:rFonts w:cs="Arial"/>
        </w:rPr>
      </w:pPr>
      <w:r w:rsidRPr="00913D41">
        <w:rPr>
          <w:rFonts w:cs="Arial"/>
        </w:rPr>
        <w:t>its compliance with the California Information Practices Act (Civil Code Sections 1798 et seq.);</w:t>
      </w:r>
    </w:p>
    <w:p w14:paraId="339B6BBA" w14:textId="77777777" w:rsidR="00934A59" w:rsidRPr="00913D41" w:rsidRDefault="00934A59" w:rsidP="00934A59">
      <w:pPr>
        <w:widowControl w:val="0"/>
        <w:numPr>
          <w:ilvl w:val="2"/>
          <w:numId w:val="14"/>
        </w:numPr>
        <w:spacing w:after="120"/>
        <w:ind w:left="1584" w:hanging="720"/>
        <w:jc w:val="both"/>
        <w:rPr>
          <w:rFonts w:cs="Arial"/>
        </w:rPr>
      </w:pPr>
      <w:r w:rsidRPr="00913D41">
        <w:rPr>
          <w:rFonts w:cs="Arial"/>
        </w:rPr>
        <w:t>its compliance with privacy provisions of the Federal Privacy Act of 1974; and</w:t>
      </w:r>
    </w:p>
    <w:p w14:paraId="6C809FFA" w14:textId="77777777" w:rsidR="00934A59" w:rsidRPr="00913D41" w:rsidRDefault="00934A59" w:rsidP="00934A59">
      <w:pPr>
        <w:widowControl w:val="0"/>
        <w:numPr>
          <w:ilvl w:val="2"/>
          <w:numId w:val="14"/>
        </w:numPr>
        <w:spacing w:after="120"/>
        <w:ind w:left="1584" w:hanging="720"/>
        <w:jc w:val="both"/>
        <w:rPr>
          <w:rFonts w:cs="Arial"/>
        </w:rPr>
      </w:pPr>
      <w:r w:rsidRPr="00913D41">
        <w:rPr>
          <w:rFonts w:cs="Arial"/>
        </w:rPr>
        <w:t>its compliance with applicable industry standards and guidelines, including but not limited to relevant security provisions of the Payment Card Industry (PCI) Data Security Standard (PCIDSS) including the PCI/DSS Cloud Computing Guidelines.</w:t>
      </w:r>
    </w:p>
    <w:p w14:paraId="1D8618C2"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Safeguards</w:t>
      </w:r>
    </w:p>
    <w:p w14:paraId="3C708359" w14:textId="77777777" w:rsidR="00934A59" w:rsidRPr="00913D41" w:rsidRDefault="00934A59" w:rsidP="00934A59">
      <w:pPr>
        <w:widowControl w:val="0"/>
        <w:spacing w:after="240"/>
        <w:ind w:left="900"/>
        <w:jc w:val="both"/>
        <w:rPr>
          <w:rFonts w:cs="Arial"/>
        </w:rPr>
      </w:pPr>
      <w:r w:rsidRPr="00913D41">
        <w:rPr>
          <w:rFonts w:cs="Arial"/>
        </w:rPr>
        <w:t xml:space="preserve">Service Provider shall implement and maintain all appropriate administrative, physical, technical and procedural safeguards in accordance with section D.1.a above at all times during the term of this Contract to secure County Data from Data Breach, protect County Data and the SaaS from hacks, introduction of viruses, disabling devices, malware and other forms of malicious or inadvertent acts </w:t>
      </w:r>
      <w:r w:rsidRPr="00913D41">
        <w:rPr>
          <w:rFonts w:cs="Arial"/>
        </w:rPr>
        <w:lastRenderedPageBreak/>
        <w:t>that can disrupt and/or compromise County’s access to County Data.</w:t>
      </w:r>
    </w:p>
    <w:p w14:paraId="436BC200"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High-Availability and Redundancy</w:t>
      </w:r>
    </w:p>
    <w:p w14:paraId="17FE5D95" w14:textId="77777777" w:rsidR="00934A59" w:rsidRPr="00913D41" w:rsidRDefault="00934A59" w:rsidP="00934A59">
      <w:pPr>
        <w:widowControl w:val="0"/>
        <w:spacing w:after="240"/>
        <w:ind w:left="900"/>
        <w:jc w:val="both"/>
        <w:rPr>
          <w:rFonts w:cs="Arial"/>
        </w:rPr>
      </w:pPr>
      <w:r w:rsidRPr="00913D41">
        <w:rPr>
          <w:rFonts w:cs="Arial"/>
        </w:rPr>
        <w:t>Service Provider shall have a high-availability and a redundant environment, where the minimum requirements are:</w:t>
      </w:r>
    </w:p>
    <w:p w14:paraId="1458DFF8"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Power and/or generators shall be 2N</w:t>
      </w:r>
    </w:p>
    <w:p w14:paraId="3094E178"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 xml:space="preserve">UPS power shall be 2N </w:t>
      </w:r>
    </w:p>
    <w:p w14:paraId="5A9A9128"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 xml:space="preserve">Redundant servers shall be N+1 </w:t>
      </w:r>
    </w:p>
    <w:p w14:paraId="76BFA031"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 xml:space="preserve">Data center shall be Tier-2 </w:t>
      </w:r>
    </w:p>
    <w:p w14:paraId="307170E3"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Data center cooling shall be 2N</w:t>
      </w:r>
    </w:p>
    <w:p w14:paraId="0B047C53"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All UPS’s and Generators must be tested and inspected on a quarterly basis.  Copies of inspection and testing results must be provided upon demand to the County.  Inspection and testing records must be retained for a minimum of 3 years</w:t>
      </w:r>
    </w:p>
    <w:p w14:paraId="4622370C" w14:textId="77777777" w:rsidR="00934A59" w:rsidRPr="00913D41" w:rsidRDefault="00934A59" w:rsidP="00934A59">
      <w:pPr>
        <w:widowControl w:val="0"/>
        <w:numPr>
          <w:ilvl w:val="2"/>
          <w:numId w:val="15"/>
        </w:numPr>
        <w:spacing w:after="120"/>
        <w:ind w:left="1584" w:hanging="720"/>
        <w:jc w:val="both"/>
        <w:rPr>
          <w:rFonts w:cs="Arial"/>
        </w:rPr>
      </w:pPr>
      <w:r w:rsidRPr="00913D41">
        <w:rPr>
          <w:rFonts w:cs="Arial"/>
        </w:rPr>
        <w:t>Data center cooling must have preventative maintenance performed quarterly.  Copies of preventative maintenance records must be provided upon demand to the County.  Preventative maintenance records must be retained for a minimum of 3 years.</w:t>
      </w:r>
    </w:p>
    <w:p w14:paraId="29A6985C" w14:textId="77777777" w:rsidR="00934A59" w:rsidRPr="00913D41" w:rsidRDefault="00934A59" w:rsidP="00934A59">
      <w:pPr>
        <w:widowControl w:val="0"/>
        <w:tabs>
          <w:tab w:val="left" w:pos="900"/>
        </w:tabs>
        <w:ind w:left="360"/>
        <w:jc w:val="both"/>
        <w:rPr>
          <w:rFonts w:cs="Arial"/>
        </w:rPr>
      </w:pPr>
    </w:p>
    <w:p w14:paraId="772FC275"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 xml:space="preserve">Physical </w:t>
      </w:r>
    </w:p>
    <w:p w14:paraId="7E43F5D1" w14:textId="77777777" w:rsidR="00934A59" w:rsidRPr="00913D41" w:rsidRDefault="00934A59" w:rsidP="00934A59">
      <w:pPr>
        <w:widowControl w:val="0"/>
        <w:spacing w:after="240"/>
        <w:ind w:left="900"/>
        <w:jc w:val="both"/>
        <w:rPr>
          <w:rFonts w:cs="Arial"/>
        </w:rPr>
      </w:pPr>
      <w:r w:rsidRPr="00913D41">
        <w:rPr>
          <w:rFonts w:cs="Arial"/>
        </w:rPr>
        <w:t>Service Provider shall have a reasonable physical security environment, where the minimum requirements are:</w:t>
      </w:r>
    </w:p>
    <w:p w14:paraId="103A41BF"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Physical access to facility, data center(s), and/or server room(s) is restricted using an access control system that utilizes iCLASS SE or multiclass SE readers.</w:t>
      </w:r>
    </w:p>
    <w:p w14:paraId="25F908B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Access control system must be capable of restricting access by time of day and groups</w:t>
      </w:r>
    </w:p>
    <w:p w14:paraId="5DD11805"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Access control system must be auditable providing customize reports on demand for inspection by the County</w:t>
      </w:r>
    </w:p>
    <w:p w14:paraId="39935E18"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Access control system components and batteries must be inspected annually.</w:t>
      </w:r>
    </w:p>
    <w:p w14:paraId="658D963C"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Access control system batteries must be replaced every 3 years or when they fail</w:t>
      </w:r>
    </w:p>
    <w:p w14:paraId="03C95BA2"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Vendor must be able retain access control history for a minimum of 3 years or as required by law</w:t>
      </w:r>
    </w:p>
    <w:p w14:paraId="5ECD158A"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Alerts are generated when physical security has been breached by the access control system or intrusion detection system</w:t>
      </w:r>
    </w:p>
    <w:p w14:paraId="7CC0381B"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Intrusion detection systems must be monitored by a third party UL central station</w:t>
      </w:r>
    </w:p>
    <w:p w14:paraId="75355001"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Intrusion detection systems must be inspected and tested quarterly with signals sent to the central station.  Testing reports must be retained for 3 years and provided on demand by the County.</w:t>
      </w:r>
    </w:p>
    <w:p w14:paraId="194B1B4B"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Intrusion detection batteries must be inspected annually and replaced every 3 years or when they fail.</w:t>
      </w:r>
    </w:p>
    <w:p w14:paraId="7162D97F"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Facility, data center(s), and server room(s) have an appropriate Video Surveillance System in-place for surveillance.</w:t>
      </w:r>
    </w:p>
    <w:p w14:paraId="783EC163"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Video surveillance system must have the capability to interface with the access control </w:t>
      </w:r>
      <w:r w:rsidRPr="00913D41">
        <w:rPr>
          <w:rFonts w:cs="Arial"/>
        </w:rPr>
        <w:lastRenderedPageBreak/>
        <w:t>system and intrusion detection system</w:t>
      </w:r>
    </w:p>
    <w:p w14:paraId="1A8DF4AB"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Video surveillance system must be inspected quarterly to make sure cameras are recording and video is being archived</w:t>
      </w:r>
    </w:p>
    <w:p w14:paraId="52F007C8"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Video surveillance system must archive video as per California Government Sections § 26202.6, § 34090.6 and § 53160</w:t>
      </w:r>
    </w:p>
    <w:p w14:paraId="5D675E51"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All access control systems, intrusion detection systems and video surveillance systems must be on the facilities emergency power system and protected by UPS.</w:t>
      </w:r>
    </w:p>
    <w:p w14:paraId="619A4162"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Data center have protections in-place that minimize environmental issues such as temperature, fire, smoke, water, dust, electrical supply interference, and electromagnetic radiation.</w:t>
      </w:r>
    </w:p>
    <w:p w14:paraId="75CB4562"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 chemical fire suppression system installed in the data center as per NFPA 2001.</w:t>
      </w:r>
    </w:p>
    <w:p w14:paraId="1231B950"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The chemical fire suppression system must be inspected semiannually as per NFPA 2001 §8.3 </w:t>
      </w:r>
    </w:p>
    <w:p w14:paraId="189EFD85"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Smoke detectors under the raised floors.</w:t>
      </w:r>
    </w:p>
    <w:p w14:paraId="2670876C"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Water detection system under the raised floors and above the ceiling. </w:t>
      </w:r>
    </w:p>
    <w:p w14:paraId="4608053D"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Facility must be protected 100% by an automatic fire sprinkler system with the data center being protected with an automatic pre-action fire sprinkler system.</w:t>
      </w:r>
    </w:p>
    <w:p w14:paraId="3CBDC82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Facility automatic fire alarm system must be tested and inspected as per NFPA 25</w:t>
      </w:r>
    </w:p>
    <w:p w14:paraId="57B57070" w14:textId="77777777" w:rsidR="00934A59" w:rsidRPr="00913D41" w:rsidRDefault="00934A59" w:rsidP="00934A59">
      <w:pPr>
        <w:widowControl w:val="0"/>
        <w:tabs>
          <w:tab w:val="left" w:pos="900"/>
          <w:tab w:val="left" w:pos="1620"/>
        </w:tabs>
        <w:ind w:left="2430"/>
        <w:jc w:val="both"/>
        <w:rPr>
          <w:rFonts w:cs="Arial"/>
        </w:rPr>
      </w:pPr>
    </w:p>
    <w:p w14:paraId="66A76FD2"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Verification</w:t>
      </w:r>
    </w:p>
    <w:p w14:paraId="4079C426" w14:textId="77777777" w:rsidR="00934A59" w:rsidRPr="00913D41" w:rsidRDefault="00934A59" w:rsidP="00934A59">
      <w:pPr>
        <w:widowControl w:val="0"/>
        <w:spacing w:after="240"/>
        <w:ind w:left="900"/>
        <w:jc w:val="both"/>
        <w:rPr>
          <w:rFonts w:cs="Arial"/>
        </w:rPr>
      </w:pPr>
      <w:r w:rsidRPr="00913D41">
        <w:rPr>
          <w:rFonts w:cs="Arial"/>
        </w:rPr>
        <w:t>Service Provider shall provide a Statement on Standards for Attestation Engagements 16 (SSAE16) Service Organization Controls Report (SOC) 1 and SOC 2 Type I and Type II Reports on an annual basis.  Based on the report(s), its findings and remediation planned or accomplished shall be provided to the County CISO in ter</w:t>
      </w:r>
      <w:r>
        <w:rPr>
          <w:rFonts w:cs="Arial"/>
        </w:rPr>
        <w:t xml:space="preserve">ms of an attestation letter. </w:t>
      </w:r>
      <w:r w:rsidRPr="00913D41">
        <w:rPr>
          <w:rFonts w:cs="Arial"/>
        </w:rPr>
        <w:t>Service Provider shall also provide statistics specific to SaaS environment on a mutually agreed upon frequency with County that includes without limitation to performance, information security, network, and other pertinent SaaS data related to the C</w:t>
      </w:r>
      <w:r>
        <w:rPr>
          <w:rFonts w:cs="Arial"/>
        </w:rPr>
        <w:t>ontract, at no cost to County.</w:t>
      </w:r>
    </w:p>
    <w:p w14:paraId="1A66BF1F"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Security</w:t>
      </w:r>
    </w:p>
    <w:p w14:paraId="72BECF84" w14:textId="77777777" w:rsidR="00934A59" w:rsidRPr="00913D41" w:rsidRDefault="00934A59" w:rsidP="00934A59">
      <w:pPr>
        <w:widowControl w:val="0"/>
        <w:spacing w:after="240"/>
        <w:ind w:left="900"/>
        <w:jc w:val="both"/>
        <w:rPr>
          <w:rFonts w:cs="Arial"/>
        </w:rPr>
      </w:pPr>
      <w:r w:rsidRPr="00913D41">
        <w:rPr>
          <w:rFonts w:cs="Arial"/>
        </w:rPr>
        <w:t>Service Provider assumes responsibility for the security and confidentiality, integrity, and availability of County Data under its control. No County Data shall be copied, modified, destroyed or deleted by Service Provider other than for normal operation or maintenance of SaaS during the Contract period without prior written notice t</w:t>
      </w:r>
      <w:r>
        <w:rPr>
          <w:rFonts w:cs="Arial"/>
        </w:rPr>
        <w:t xml:space="preserve">o and written approval by CISO. </w:t>
      </w:r>
      <w:r w:rsidRPr="00913D41">
        <w:rPr>
          <w:rFonts w:cs="Arial"/>
        </w:rPr>
        <w:t>When data is destroyed or disposed, it shall be in accordance with the National Institute of Standards of Technology (NIST) Special Publication 800-88 published by the U.S. Department of Commerce.  The incorporation of the Defense of Department (DoD) standard 5220.2-M wipe method shall be used when using data destruction programs, file shredders, etc.  In either case, a written confirmation of this process is required to the County CISO within three (3) days of the destroyed/disposed data.</w:t>
      </w:r>
      <w:r>
        <w:rPr>
          <w:rFonts w:cs="Arial"/>
        </w:rPr>
        <w:t xml:space="preserve"> </w:t>
      </w:r>
      <w:r w:rsidRPr="00913D41">
        <w:rPr>
          <w:rFonts w:cs="Arial"/>
        </w:rPr>
        <w:t>Remote access to County Data from outside the CONUS, including remote access to County Data by authorized SaaS support staff in identified support centers, is prohibited unless approved in advance by the CISO.</w:t>
      </w:r>
    </w:p>
    <w:p w14:paraId="1D2BF131" w14:textId="77777777" w:rsidR="00934A59" w:rsidRPr="00913D41" w:rsidRDefault="00934A59" w:rsidP="00934A59">
      <w:pPr>
        <w:keepNext/>
        <w:widowControl w:val="0"/>
        <w:numPr>
          <w:ilvl w:val="0"/>
          <w:numId w:val="15"/>
        </w:numPr>
        <w:ind w:left="360"/>
        <w:jc w:val="both"/>
        <w:rPr>
          <w:rFonts w:cs="Arial"/>
          <w:b/>
        </w:rPr>
      </w:pPr>
      <w:r w:rsidRPr="00913D41">
        <w:rPr>
          <w:rFonts w:cs="Arial"/>
          <w:b/>
        </w:rPr>
        <w:t>ENCRYPTION</w:t>
      </w:r>
    </w:p>
    <w:p w14:paraId="39D0B08E" w14:textId="77777777" w:rsidR="00934A59" w:rsidRPr="00913D41" w:rsidRDefault="00934A59" w:rsidP="00934A59">
      <w:pPr>
        <w:widowControl w:val="0"/>
        <w:spacing w:after="240"/>
        <w:ind w:left="360"/>
        <w:jc w:val="both"/>
        <w:rPr>
          <w:rFonts w:cs="Arial"/>
        </w:rPr>
      </w:pPr>
      <w:r w:rsidRPr="00913D41">
        <w:rPr>
          <w:rFonts w:cs="Arial"/>
        </w:rPr>
        <w:t>In order to provide reasonable security to County Data, cloud service datacenters should encrypt all County Data while in route to and from the Service Provider (in motion) using secure transfer methods (e.g., Secure Sockets Layer, Transport Layer Security), and while sto</w:t>
      </w:r>
      <w:r>
        <w:rPr>
          <w:rFonts w:cs="Arial"/>
        </w:rPr>
        <w:t>red in the datacenter (at rest)</w:t>
      </w:r>
    </w:p>
    <w:p w14:paraId="16120391"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lastRenderedPageBreak/>
        <w:t xml:space="preserve">Data In Motion </w:t>
      </w:r>
    </w:p>
    <w:p w14:paraId="4C1F8C32" w14:textId="77777777" w:rsidR="00934A59" w:rsidRPr="00913D41" w:rsidRDefault="00934A59" w:rsidP="00934A59">
      <w:pPr>
        <w:widowControl w:val="0"/>
        <w:spacing w:after="240"/>
        <w:ind w:left="900"/>
        <w:jc w:val="both"/>
        <w:rPr>
          <w:rFonts w:cs="Arial"/>
        </w:rPr>
      </w:pPr>
      <w:r w:rsidRPr="00913D41">
        <w:rPr>
          <w:rFonts w:cs="Arial"/>
        </w:rPr>
        <w:t xml:space="preserve">All transmitted County Data require encryption in accordance with: </w:t>
      </w:r>
    </w:p>
    <w:p w14:paraId="71522EA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NIST Special Publication 800-52 Guidelines for the Selection and Use of Transport Layer Security Implementations; and </w:t>
      </w:r>
    </w:p>
    <w:p w14:paraId="78D5C537"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NIST Special Publication 800-57 Recommendation for Key Management - Part 3: Application-Specific</w:t>
      </w:r>
    </w:p>
    <w:p w14:paraId="3BFBC07F"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Key Management Guidance; and </w:t>
      </w:r>
    </w:p>
    <w:p w14:paraId="4414A92B"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Secure Sockets Layer (SSL) is minimally required with minimum cipher strength of 128-bit.</w:t>
      </w:r>
    </w:p>
    <w:p w14:paraId="67AAB913" w14:textId="77777777" w:rsidR="00934A59" w:rsidRPr="00913D41" w:rsidRDefault="00934A59" w:rsidP="00934A59">
      <w:pPr>
        <w:widowControl w:val="0"/>
        <w:ind w:left="360"/>
        <w:jc w:val="both"/>
        <w:rPr>
          <w:rFonts w:cs="Arial"/>
        </w:rPr>
      </w:pPr>
    </w:p>
    <w:p w14:paraId="1B8B01AB"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Data At Rest</w:t>
      </w:r>
    </w:p>
    <w:p w14:paraId="3ECBC8F3" w14:textId="77777777" w:rsidR="00934A59" w:rsidRPr="00913D41" w:rsidRDefault="00934A59" w:rsidP="00934A59">
      <w:pPr>
        <w:widowControl w:val="0"/>
        <w:spacing w:after="240"/>
        <w:ind w:left="900"/>
        <w:jc w:val="both"/>
        <w:rPr>
          <w:rFonts w:cs="Arial"/>
        </w:rPr>
      </w:pPr>
      <w:r w:rsidRPr="00913D41">
        <w:rPr>
          <w:rFonts w:cs="Arial"/>
        </w:rPr>
        <w:t>All County Data at rest require encryption in accordance with:</w:t>
      </w:r>
    </w:p>
    <w:p w14:paraId="2AE8E539"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Federal Information Processing Standard Publication (FIPS) 140-2; and </w:t>
      </w:r>
    </w:p>
    <w:p w14:paraId="43AE9878"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National Institute of Standards and Technology (NIST) Special Publication 800-57 Recommendation for Key Management - Part 1: General (Revision 3); and </w:t>
      </w:r>
    </w:p>
    <w:p w14:paraId="1C1C087D"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NIST Special Publication 800-57 Recommendation for Key Management - Part 2: Best Practices for</w:t>
      </w:r>
    </w:p>
    <w:p w14:paraId="7A7E7587"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b/>
        <w:t>Key Management Organization; and</w:t>
      </w:r>
    </w:p>
    <w:p w14:paraId="606FBF3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NIST Special Publication 800-111 Guide to Storage Encryption Technologies for End User Devices.</w:t>
      </w:r>
    </w:p>
    <w:p w14:paraId="3A088976"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Advanced Encryption Standard (AES) with cipher strength of 256-bit is minimally required.</w:t>
      </w:r>
    </w:p>
    <w:p w14:paraId="748E48D5" w14:textId="77777777" w:rsidR="00934A59" w:rsidRPr="00913D41" w:rsidRDefault="00934A59" w:rsidP="00934A59">
      <w:pPr>
        <w:widowControl w:val="0"/>
        <w:tabs>
          <w:tab w:val="left" w:pos="360"/>
        </w:tabs>
        <w:jc w:val="both"/>
        <w:rPr>
          <w:rFonts w:cs="Arial"/>
        </w:rPr>
      </w:pPr>
    </w:p>
    <w:p w14:paraId="118D12D6" w14:textId="77777777" w:rsidR="00934A59" w:rsidRPr="00913D41" w:rsidRDefault="00934A59" w:rsidP="00934A59">
      <w:pPr>
        <w:keepNext/>
        <w:widowControl w:val="0"/>
        <w:numPr>
          <w:ilvl w:val="0"/>
          <w:numId w:val="15"/>
        </w:numPr>
        <w:ind w:left="360"/>
        <w:jc w:val="both"/>
        <w:rPr>
          <w:rFonts w:cs="Arial"/>
          <w:b/>
        </w:rPr>
      </w:pPr>
      <w:r w:rsidRPr="00913D41">
        <w:rPr>
          <w:rFonts w:cs="Arial"/>
          <w:b/>
        </w:rPr>
        <w:t>DATA LOCATION</w:t>
      </w:r>
    </w:p>
    <w:p w14:paraId="6C184E2B" w14:textId="77777777" w:rsidR="00934A59" w:rsidRPr="00913D41" w:rsidRDefault="00934A59" w:rsidP="00934A59">
      <w:pPr>
        <w:widowControl w:val="0"/>
        <w:spacing w:after="240"/>
        <w:ind w:left="360"/>
        <w:jc w:val="both"/>
        <w:rPr>
          <w:rFonts w:cs="Arial"/>
        </w:rPr>
      </w:pPr>
      <w:r w:rsidRPr="00913D41">
        <w:rPr>
          <w:rFonts w:cs="Arial"/>
        </w:rPr>
        <w:t>Unless otherwise stated in the Statement of Work and approved in advance by the CISO, the physical location of Service Provider’s data center where County Data is stored shall be within the CONUS, and County Data shall not be transmitted, proce</w:t>
      </w:r>
      <w:r>
        <w:rPr>
          <w:rFonts w:cs="Arial"/>
        </w:rPr>
        <w:t>ssed or stored outside of CONUS</w:t>
      </w:r>
    </w:p>
    <w:p w14:paraId="7B7BAAD3" w14:textId="77777777" w:rsidR="00934A59" w:rsidRPr="00913D41" w:rsidRDefault="00934A59" w:rsidP="00934A59">
      <w:pPr>
        <w:keepNext/>
        <w:widowControl w:val="0"/>
        <w:numPr>
          <w:ilvl w:val="0"/>
          <w:numId w:val="15"/>
        </w:numPr>
        <w:ind w:left="360"/>
        <w:jc w:val="both"/>
        <w:rPr>
          <w:rFonts w:cs="Arial"/>
          <w:b/>
        </w:rPr>
      </w:pPr>
      <w:r w:rsidRPr="00913D41">
        <w:rPr>
          <w:rFonts w:cs="Arial"/>
          <w:b/>
        </w:rPr>
        <w:t>RIGHTS TO DATA</w:t>
      </w:r>
    </w:p>
    <w:p w14:paraId="52554D5F" w14:textId="77777777" w:rsidR="00934A59" w:rsidRPr="00913D41" w:rsidRDefault="00934A59" w:rsidP="00934A59">
      <w:pPr>
        <w:widowControl w:val="0"/>
        <w:spacing w:after="240"/>
        <w:ind w:left="360"/>
        <w:jc w:val="both"/>
        <w:rPr>
          <w:rFonts w:cs="Arial"/>
        </w:rPr>
      </w:pPr>
      <w:r w:rsidRPr="00913D41">
        <w:rPr>
          <w:rFonts w:cs="Arial"/>
        </w:rPr>
        <w:t>The parties agree that as between them, all rights, including all intellectual property rights, in and to County Data shall remain the exclusive property of County, and Service Provider has a limited, non-exclusive license to access and use County Data as provided to Service Provider solely for performing its obligations under the Contract. Nothing herein shall be construed to confer any license or right to County Data, including user tracking and exception County Data within the system, by implication, estoppel or otherwise, under copyright or other intellectual property rights, to any third party.  Unauthorized use of County Data by Service Provider or third parties is prohibited.  For the purposes of this requirement, the phrase “unauthorized use” means the data mining or processing of data, stored or transmitted by the service, for unrelated commercial purposes, advertising or advertising-related purposes, or for any other purpose other than security or service delivery analysis th</w:t>
      </w:r>
      <w:r>
        <w:rPr>
          <w:rFonts w:cs="Arial"/>
        </w:rPr>
        <w:t>at is not explicitly authorized</w:t>
      </w:r>
    </w:p>
    <w:p w14:paraId="2D8624EE" w14:textId="77777777" w:rsidR="00934A59" w:rsidRPr="00913D41" w:rsidRDefault="00934A59" w:rsidP="00934A59">
      <w:pPr>
        <w:keepNext/>
        <w:widowControl w:val="0"/>
        <w:numPr>
          <w:ilvl w:val="0"/>
          <w:numId w:val="15"/>
        </w:numPr>
        <w:ind w:left="360"/>
        <w:jc w:val="both"/>
        <w:rPr>
          <w:rFonts w:cs="Arial"/>
          <w:b/>
        </w:rPr>
      </w:pPr>
      <w:r w:rsidRPr="00913D41">
        <w:rPr>
          <w:rFonts w:cs="Arial"/>
          <w:b/>
        </w:rPr>
        <w:t>TRANSITION PERIOD</w:t>
      </w:r>
    </w:p>
    <w:p w14:paraId="0E439C20" w14:textId="77777777" w:rsidR="00934A59" w:rsidRPr="00913D41" w:rsidRDefault="00934A59" w:rsidP="00934A59">
      <w:pPr>
        <w:widowControl w:val="0"/>
        <w:spacing w:after="240"/>
        <w:ind w:left="360"/>
        <w:jc w:val="both"/>
        <w:rPr>
          <w:rFonts w:cs="Arial"/>
        </w:rPr>
      </w:pPr>
      <w:r w:rsidRPr="00913D41">
        <w:rPr>
          <w:rFonts w:cs="Arial"/>
        </w:rPr>
        <w:t xml:space="preserve">For ninety (90) days prior to the expiration date of this Contract, or upon notice of termination of this Contract, Service Provider shall assist County in extracting and/or transitioning all County Data in the format determined by the </w:t>
      </w:r>
      <w:r>
        <w:rPr>
          <w:rFonts w:cs="Arial"/>
        </w:rPr>
        <w:t>County</w:t>
      </w:r>
      <w:r w:rsidRPr="00913D41">
        <w:rPr>
          <w:rFonts w:cs="Arial"/>
        </w:rPr>
        <w:t xml:space="preserve"> (“Transition Period”). The Transition Period may be modified in the SOW or as agreed upon in writing by the parties in a contract amendment. During the Transition Period, SaaS and County Data access shall continue to be made available to County without alteration. Service Provider </w:t>
      </w:r>
      <w:r w:rsidRPr="00913D41">
        <w:rPr>
          <w:rFonts w:cs="Arial"/>
        </w:rPr>
        <w:lastRenderedPageBreak/>
        <w:t>agrees to compensate County for damages or losses County incurs as a result of Service Provider’s failure to comply with this section. Unless otherwise stated in the SOW, the Service Provider shall permanently destroy or render inaccessible any portion of County Data in Service Provider’s and/or subcontractor’s possession or control following the expiration of all obligations in this section. Within thirty (30) days, Service Provider shall issue a written statement to County confirming the destruction or inaccessibility of County Data. County at its option, may purchase additional transition ser</w:t>
      </w:r>
      <w:r>
        <w:rPr>
          <w:rFonts w:cs="Arial"/>
        </w:rPr>
        <w:t>vices as agreed upon in the SOW</w:t>
      </w:r>
    </w:p>
    <w:p w14:paraId="52C92D0C" w14:textId="77777777" w:rsidR="00934A59" w:rsidRPr="00913D41" w:rsidRDefault="00934A59" w:rsidP="00934A59">
      <w:pPr>
        <w:keepNext/>
        <w:widowControl w:val="0"/>
        <w:numPr>
          <w:ilvl w:val="0"/>
          <w:numId w:val="15"/>
        </w:numPr>
        <w:ind w:left="360"/>
        <w:jc w:val="both"/>
        <w:rPr>
          <w:rFonts w:cs="Arial"/>
          <w:b/>
        </w:rPr>
      </w:pPr>
      <w:r w:rsidRPr="00913D41">
        <w:rPr>
          <w:rFonts w:cs="Arial"/>
          <w:b/>
        </w:rPr>
        <w:t>DATA BREACH</w:t>
      </w:r>
    </w:p>
    <w:p w14:paraId="0AD212C2" w14:textId="77777777" w:rsidR="00934A59" w:rsidRPr="00913D41" w:rsidRDefault="00934A59" w:rsidP="00934A59">
      <w:pPr>
        <w:widowControl w:val="0"/>
        <w:tabs>
          <w:tab w:val="left" w:pos="360"/>
        </w:tabs>
        <w:jc w:val="both"/>
        <w:rPr>
          <w:rFonts w:cs="Arial"/>
          <w:b/>
        </w:rPr>
      </w:pPr>
    </w:p>
    <w:p w14:paraId="38265772"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Notification</w:t>
      </w:r>
    </w:p>
    <w:p w14:paraId="31F58862" w14:textId="77777777" w:rsidR="00934A59" w:rsidRPr="00913D41" w:rsidRDefault="00934A59" w:rsidP="00934A59">
      <w:pPr>
        <w:widowControl w:val="0"/>
        <w:spacing w:after="120"/>
        <w:ind w:left="900"/>
        <w:jc w:val="both"/>
        <w:rPr>
          <w:rFonts w:cs="Arial"/>
        </w:rPr>
      </w:pPr>
      <w:r w:rsidRPr="00913D41">
        <w:rPr>
          <w:rFonts w:cs="Arial"/>
        </w:rPr>
        <w:t>Upon discovery or reasonable belief of any Data Breach, Service Provider shall notify the CISO by the fastest means available and in writing to the County Notices contact within twenty-four (24) hours after Service Provider reasonably believes a Data Breach has occurred.  At a minimum, the notification shall include:</w:t>
      </w:r>
    </w:p>
    <w:p w14:paraId="337DD485"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the nature of the Data Breach;</w:t>
      </w:r>
    </w:p>
    <w:p w14:paraId="7D4EBFA4"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County Data accessed, used or disclosed;</w:t>
      </w:r>
    </w:p>
    <w:p w14:paraId="511AE1CD"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any evidence of County Data extricated; </w:t>
      </w:r>
    </w:p>
    <w:p w14:paraId="0F554C9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the identity of the person(s) who accessed, used, disclosed and/or received County Data (if known);</w:t>
      </w:r>
    </w:p>
    <w:p w14:paraId="56690664"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the law enforcement agency(ies) contacted; and</w:t>
      </w:r>
    </w:p>
    <w:p w14:paraId="1626FEA0"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actions taken or will be taken to quarantine and mitigate the Data Breach; and</w:t>
      </w:r>
    </w:p>
    <w:p w14:paraId="710300DC"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corrective action taken or will be taken to prevent future Data Breaches.</w:t>
      </w:r>
    </w:p>
    <w:p w14:paraId="1B44F5BB" w14:textId="77777777" w:rsidR="00934A59" w:rsidRPr="00913D41" w:rsidRDefault="00934A59" w:rsidP="00934A59">
      <w:pPr>
        <w:widowControl w:val="0"/>
        <w:tabs>
          <w:tab w:val="left" w:pos="1620"/>
        </w:tabs>
        <w:ind w:left="907"/>
        <w:jc w:val="both"/>
        <w:rPr>
          <w:rFonts w:cs="Arial"/>
        </w:rPr>
      </w:pPr>
    </w:p>
    <w:p w14:paraId="3F93B983"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Investigation</w:t>
      </w:r>
    </w:p>
    <w:p w14:paraId="2140A15F" w14:textId="77777777" w:rsidR="00934A59" w:rsidRPr="00913D41" w:rsidRDefault="00934A59" w:rsidP="00934A59">
      <w:pPr>
        <w:widowControl w:val="0"/>
        <w:spacing w:after="240"/>
        <w:ind w:left="900"/>
        <w:jc w:val="both"/>
        <w:rPr>
          <w:rFonts w:cs="Arial"/>
        </w:rPr>
      </w:pPr>
      <w:r w:rsidRPr="00913D41">
        <w:rPr>
          <w:rFonts w:cs="Arial"/>
        </w:rPr>
        <w:t>Service Provider shall conduct an investigation of the Data Breach and shall share the report of the investigation with the CISO. If required by law, County and/or its authorized agents shall have the right to lead or participate in the investigation, in its sole discretion.  Service Provider shall cooperate fully with County, its agents and law enforcement.</w:t>
      </w:r>
    </w:p>
    <w:p w14:paraId="477B77A1" w14:textId="77777777" w:rsidR="00934A59" w:rsidRPr="00913D41" w:rsidRDefault="00934A59" w:rsidP="00934A59">
      <w:pPr>
        <w:widowControl w:val="0"/>
        <w:ind w:left="360"/>
        <w:jc w:val="both"/>
        <w:rPr>
          <w:rFonts w:cs="Arial"/>
        </w:rPr>
      </w:pPr>
    </w:p>
    <w:p w14:paraId="66A92537"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Post-Breach Audit</w:t>
      </w:r>
    </w:p>
    <w:p w14:paraId="0205A4FF" w14:textId="77777777" w:rsidR="00934A59" w:rsidRPr="00913D41" w:rsidRDefault="00934A59" w:rsidP="00934A59">
      <w:pPr>
        <w:widowControl w:val="0"/>
        <w:spacing w:after="120"/>
        <w:ind w:left="900"/>
        <w:jc w:val="both"/>
        <w:rPr>
          <w:rFonts w:cs="Arial"/>
        </w:rPr>
      </w:pPr>
      <w:r w:rsidRPr="00913D41">
        <w:rPr>
          <w:rFonts w:cs="Arial"/>
        </w:rPr>
        <w:t xml:space="preserve">Upon advance written request, Service Provider agrees that the County or its designated representative shall have access to Service Provider’s SaaS, operational documentation, records and databases, including online inspection, that relate to the SaaS that experienced the Data Breach. The online inspection shall allow the County, its authorized agents, or a mutually acceptable third-party to test that controls are in-place and working as intended.  Tests may include, but not be limited to, the following: </w:t>
      </w:r>
    </w:p>
    <w:p w14:paraId="2D978156"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Operating system/network vulnerability scans,</w:t>
      </w:r>
    </w:p>
    <w:p w14:paraId="28498AA6"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Web application vulnerability scans,</w:t>
      </w:r>
    </w:p>
    <w:p w14:paraId="2858DAF2"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 xml:space="preserve">Database application vulnerability scans, and </w:t>
      </w:r>
    </w:p>
    <w:p w14:paraId="73D44B2E"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Any other scans to be performed by the County or representatives on behalf of the County.</w:t>
      </w:r>
    </w:p>
    <w:p w14:paraId="325518AD" w14:textId="77777777" w:rsidR="00934A59" w:rsidRPr="00913D41" w:rsidRDefault="00934A59" w:rsidP="00934A59">
      <w:pPr>
        <w:widowControl w:val="0"/>
        <w:tabs>
          <w:tab w:val="left" w:pos="360"/>
        </w:tabs>
        <w:jc w:val="both"/>
        <w:rPr>
          <w:rFonts w:cs="Arial"/>
        </w:rPr>
      </w:pPr>
    </w:p>
    <w:p w14:paraId="05A06D28" w14:textId="77777777" w:rsidR="00934A59" w:rsidRPr="00913D41" w:rsidRDefault="00934A59" w:rsidP="00934A59">
      <w:pPr>
        <w:keepNext/>
        <w:widowControl w:val="0"/>
        <w:numPr>
          <w:ilvl w:val="0"/>
          <w:numId w:val="15"/>
        </w:numPr>
        <w:ind w:left="360"/>
        <w:jc w:val="both"/>
        <w:rPr>
          <w:rFonts w:cs="Arial"/>
          <w:b/>
        </w:rPr>
      </w:pPr>
      <w:r w:rsidRPr="00913D41">
        <w:rPr>
          <w:rFonts w:cs="Arial"/>
          <w:b/>
        </w:rPr>
        <w:t>DISASTER RECOVERY AND BUSINESS CONTINUITY</w:t>
      </w:r>
    </w:p>
    <w:p w14:paraId="768855DE" w14:textId="77777777" w:rsidR="00934A59" w:rsidRPr="00913D41" w:rsidRDefault="00934A59" w:rsidP="00934A59">
      <w:pPr>
        <w:contextualSpacing/>
        <w:rPr>
          <w:rFonts w:cs="Arial"/>
          <w:b/>
        </w:rPr>
      </w:pPr>
    </w:p>
    <w:p w14:paraId="67532AA5"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lastRenderedPageBreak/>
        <w:t>Notification</w:t>
      </w:r>
    </w:p>
    <w:p w14:paraId="7C97E5A9" w14:textId="77777777" w:rsidR="00934A59" w:rsidRPr="00913D41" w:rsidRDefault="00934A59" w:rsidP="00934A59">
      <w:pPr>
        <w:widowControl w:val="0"/>
        <w:spacing w:after="120"/>
        <w:ind w:left="900"/>
        <w:jc w:val="both"/>
        <w:rPr>
          <w:rFonts w:cs="Arial"/>
        </w:rPr>
      </w:pPr>
      <w:r w:rsidRPr="00913D41">
        <w:rPr>
          <w:rFonts w:cs="Arial"/>
        </w:rPr>
        <w:t xml:space="preserve">In the event of disaster or catastrophic failure that results in significant loss of County Data or access to County Data, Service Provider shall notify County by the fastest means available and in writing, with additional notification provided to the CISO. Service Provider shall provide such notification within twenty-four (24) hours after Service Provider reasonably believes there has been such a disaster or catastrophic failure. In the notification, Contactor shall inform County of: </w:t>
      </w:r>
    </w:p>
    <w:p w14:paraId="6A528FE9"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the scale and quantity of County Data loss;</w:t>
      </w:r>
    </w:p>
    <w:p w14:paraId="7C67BFDF"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Service Provider’s action plan to recover County Data and mitigate the results of County Data loss; and</w:t>
      </w:r>
    </w:p>
    <w:p w14:paraId="3338D33C"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Service Provider’s corrective action plan to prevent future County Data loss.</w:t>
      </w:r>
    </w:p>
    <w:p w14:paraId="260C7D24" w14:textId="77777777" w:rsidR="00934A59" w:rsidRPr="00913D41" w:rsidRDefault="00934A59" w:rsidP="00934A59">
      <w:pPr>
        <w:widowControl w:val="0"/>
        <w:tabs>
          <w:tab w:val="left" w:pos="1620"/>
        </w:tabs>
        <w:jc w:val="both"/>
        <w:rPr>
          <w:rFonts w:cs="Arial"/>
        </w:rPr>
      </w:pPr>
    </w:p>
    <w:p w14:paraId="48298779"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Restore and Repair Service</w:t>
      </w:r>
    </w:p>
    <w:p w14:paraId="7C3F0C0A" w14:textId="77777777" w:rsidR="00934A59" w:rsidRPr="00913D41" w:rsidRDefault="00934A59" w:rsidP="00934A59">
      <w:pPr>
        <w:widowControl w:val="0"/>
        <w:spacing w:after="120"/>
        <w:ind w:left="900"/>
        <w:jc w:val="both"/>
        <w:rPr>
          <w:rFonts w:cs="Arial"/>
        </w:rPr>
      </w:pPr>
      <w:r w:rsidRPr="00913D41">
        <w:rPr>
          <w:rFonts w:cs="Arial"/>
        </w:rPr>
        <w:t>Service Provider shall:</w:t>
      </w:r>
    </w:p>
    <w:p w14:paraId="19BDC8BB"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restore continuity of SaaS,</w:t>
      </w:r>
    </w:p>
    <w:p w14:paraId="20CA7365"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restore County Data in accordance with the RPO and RTO as set forth in the SLA,</w:t>
      </w:r>
    </w:p>
    <w:p w14:paraId="11B9ABC8"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restore accessibility of County Data, and</w:t>
      </w:r>
    </w:p>
    <w:p w14:paraId="1AFFD314" w14:textId="77777777" w:rsidR="00934A59" w:rsidRPr="00913D41" w:rsidRDefault="00934A59" w:rsidP="00934A59">
      <w:pPr>
        <w:widowControl w:val="0"/>
        <w:numPr>
          <w:ilvl w:val="2"/>
          <w:numId w:val="15"/>
        </w:numPr>
        <w:spacing w:after="120"/>
        <w:ind w:left="1620" w:hanging="720"/>
        <w:jc w:val="both"/>
        <w:rPr>
          <w:rFonts w:cs="Arial"/>
        </w:rPr>
      </w:pPr>
      <w:r w:rsidRPr="00913D41">
        <w:rPr>
          <w:rFonts w:cs="Arial"/>
        </w:rPr>
        <w:t>repair SaaS as needed to meet the performance requirements stated in the SLA.</w:t>
      </w:r>
    </w:p>
    <w:p w14:paraId="63515B50" w14:textId="77777777" w:rsidR="00934A59" w:rsidRPr="00913D41" w:rsidRDefault="00934A59" w:rsidP="00934A59">
      <w:pPr>
        <w:widowControl w:val="0"/>
        <w:tabs>
          <w:tab w:val="left" w:pos="1620"/>
        </w:tabs>
        <w:jc w:val="both"/>
        <w:rPr>
          <w:rFonts w:cs="Arial"/>
        </w:rPr>
      </w:pPr>
    </w:p>
    <w:p w14:paraId="4328FCFB" w14:textId="77777777" w:rsidR="00934A59" w:rsidRPr="00913D41" w:rsidRDefault="00934A59" w:rsidP="00934A59">
      <w:pPr>
        <w:keepNext/>
        <w:widowControl w:val="0"/>
        <w:numPr>
          <w:ilvl w:val="1"/>
          <w:numId w:val="15"/>
        </w:numPr>
        <w:ind w:left="900" w:hanging="540"/>
        <w:jc w:val="both"/>
        <w:rPr>
          <w:rFonts w:cs="Arial"/>
          <w:b/>
        </w:rPr>
      </w:pPr>
      <w:r w:rsidRPr="00913D41">
        <w:rPr>
          <w:rFonts w:cs="Arial"/>
          <w:b/>
        </w:rPr>
        <w:t>Investigation and Audit</w:t>
      </w:r>
    </w:p>
    <w:p w14:paraId="167DF8C3" w14:textId="77777777" w:rsidR="00934A59" w:rsidRPr="00913D41" w:rsidRDefault="00934A59" w:rsidP="00934A59">
      <w:pPr>
        <w:widowControl w:val="0"/>
        <w:spacing w:after="240"/>
        <w:ind w:left="900"/>
        <w:jc w:val="both"/>
        <w:rPr>
          <w:rFonts w:cs="Arial"/>
        </w:rPr>
      </w:pPr>
      <w:r w:rsidRPr="00913D41">
        <w:rPr>
          <w:rFonts w:cs="Arial"/>
        </w:rPr>
        <w:t>Service Provider shall conduct an investigation of the disaster or catastrophic failure and shall share the report of the investigation with County. At its sole expense, Service Provider will have an independent, industry-recognized, County-approved third party perform an information security audit. Within five (5) business days of Service Provider’s receipt of the final report, Service Provider will provide the County with a copy of the report and a written remediation plan.</w:t>
      </w:r>
    </w:p>
    <w:p w14:paraId="79BD0091" w14:textId="77777777" w:rsidR="00934A59" w:rsidRPr="00913D41" w:rsidRDefault="00934A59" w:rsidP="00934A59">
      <w:pPr>
        <w:widowControl w:val="0"/>
        <w:tabs>
          <w:tab w:val="left" w:pos="1620"/>
        </w:tabs>
        <w:ind w:left="360"/>
        <w:jc w:val="both"/>
        <w:rPr>
          <w:rFonts w:cs="Arial"/>
        </w:rPr>
      </w:pPr>
    </w:p>
    <w:p w14:paraId="62CBAF90" w14:textId="77777777" w:rsidR="00934A59" w:rsidRPr="00B93773" w:rsidRDefault="00934A59" w:rsidP="00934A59">
      <w:pPr>
        <w:widowControl w:val="0"/>
        <w:jc w:val="center"/>
        <w:outlineLvl w:val="0"/>
        <w:rPr>
          <w:rFonts w:cs="Arial"/>
          <w:szCs w:val="22"/>
        </w:rPr>
      </w:pPr>
      <w:r w:rsidRPr="00913D41">
        <w:rPr>
          <w:rFonts w:cs="Arial"/>
        </w:rPr>
        <w:t>[END OF CLOUD SERVICES TERMS]</w:t>
      </w:r>
    </w:p>
    <w:p w14:paraId="1ED19C29" w14:textId="77777777" w:rsidR="00934A59" w:rsidRPr="002C5D58" w:rsidRDefault="00934A59" w:rsidP="00AD2E7F">
      <w:pPr>
        <w:rPr>
          <w:szCs w:val="22"/>
        </w:rPr>
      </w:pPr>
    </w:p>
    <w:sectPr w:rsidR="00934A59" w:rsidRPr="002C5D58" w:rsidSect="002C5D58">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0E8F" w14:textId="77777777" w:rsidR="00A9549F" w:rsidRDefault="00A9549F" w:rsidP="00707A82">
      <w:r>
        <w:separator/>
      </w:r>
    </w:p>
  </w:endnote>
  <w:endnote w:type="continuationSeparator" w:id="0">
    <w:p w14:paraId="0A3049B4" w14:textId="77777777" w:rsidR="00A9549F" w:rsidRDefault="00A9549F" w:rsidP="0070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86758"/>
      <w:docPartObj>
        <w:docPartGallery w:val="Page Numbers (Bottom of Page)"/>
        <w:docPartUnique/>
      </w:docPartObj>
    </w:sdtPr>
    <w:sdtEndPr/>
    <w:sdtContent>
      <w:sdt>
        <w:sdtPr>
          <w:id w:val="-1104880194"/>
          <w:docPartObj>
            <w:docPartGallery w:val="Page Numbers (Top of Page)"/>
            <w:docPartUnique/>
          </w:docPartObj>
        </w:sdtPr>
        <w:sdtEndPr/>
        <w:sdtContent>
          <w:p w14:paraId="60A89C55" w14:textId="026B7FEE" w:rsidR="00707A82" w:rsidRDefault="00707A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52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5235">
              <w:rPr>
                <w:b/>
                <w:bCs/>
                <w:noProof/>
              </w:rPr>
              <w:t>8</w:t>
            </w:r>
            <w:r>
              <w:rPr>
                <w:b/>
                <w:bCs/>
                <w:sz w:val="24"/>
                <w:szCs w:val="24"/>
              </w:rPr>
              <w:fldChar w:fldCharType="end"/>
            </w:r>
          </w:p>
        </w:sdtContent>
      </w:sdt>
    </w:sdtContent>
  </w:sdt>
  <w:p w14:paraId="3332AA23" w14:textId="77777777" w:rsidR="00707A82" w:rsidRDefault="0070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F1E3" w14:textId="77777777" w:rsidR="00A9549F" w:rsidRDefault="00A9549F" w:rsidP="00707A82">
      <w:r>
        <w:separator/>
      </w:r>
    </w:p>
  </w:footnote>
  <w:footnote w:type="continuationSeparator" w:id="0">
    <w:p w14:paraId="2AF65796" w14:textId="77777777" w:rsidR="00A9549F" w:rsidRDefault="00A9549F" w:rsidP="0070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321"/>
    <w:multiLevelType w:val="hybridMultilevel"/>
    <w:tmpl w:val="EF960C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06EF8"/>
    <w:multiLevelType w:val="multilevel"/>
    <w:tmpl w:val="29C60540"/>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 w15:restartNumberingAfterBreak="0">
    <w:nsid w:val="3BA30F83"/>
    <w:multiLevelType w:val="multilevel"/>
    <w:tmpl w:val="F8B00494"/>
    <w:lvl w:ilvl="0">
      <w:start w:val="1"/>
      <w:numFmt w:val="upperLetter"/>
      <w:lvlText w:val="%1."/>
      <w:lvlJc w:val="left"/>
      <w:pPr>
        <w:ind w:left="990" w:hanging="360"/>
      </w:pPr>
      <w:rPr>
        <w:rFonts w:ascii="Arial Bold" w:hAnsi="Arial Bold" w:hint="default"/>
        <w:b/>
        <w:i w:val="0"/>
        <w:sz w:val="20"/>
      </w:rPr>
    </w:lvl>
    <w:lvl w:ilvl="1">
      <w:start w:val="1"/>
      <w:numFmt w:val="decimal"/>
      <w:lvlText w:val="%1.%2"/>
      <w:lvlJc w:val="left"/>
      <w:pPr>
        <w:ind w:left="1710" w:hanging="360"/>
      </w:pPr>
      <w:rPr>
        <w:rFonts w:ascii="Arial Bold" w:hAnsi="Arial Bold" w:hint="default"/>
        <w:b/>
        <w:i w:val="0"/>
        <w:sz w:val="20"/>
      </w:rPr>
    </w:lvl>
    <w:lvl w:ilvl="2">
      <w:start w:val="1"/>
      <w:numFmt w:val="decimal"/>
      <w:lvlText w:val="%1.%2.%3"/>
      <w:lvlJc w:val="left"/>
      <w:pPr>
        <w:ind w:left="2430" w:hanging="180"/>
      </w:pPr>
      <w:rPr>
        <w:rFonts w:ascii="Arial Bold" w:hAnsi="Arial Bold" w:hint="default"/>
        <w:b/>
        <w:i w:val="0"/>
        <w:sz w:val="20"/>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3" w15:restartNumberingAfterBreak="0">
    <w:nsid w:val="406F2929"/>
    <w:multiLevelType w:val="hybridMultilevel"/>
    <w:tmpl w:val="AD82EF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73C75"/>
    <w:multiLevelType w:val="hybridMultilevel"/>
    <w:tmpl w:val="3D3EDC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3506F"/>
    <w:multiLevelType w:val="hybridMultilevel"/>
    <w:tmpl w:val="8CF057E0"/>
    <w:lvl w:ilvl="0" w:tplc="1DBE7C44">
      <w:start w:val="1"/>
      <w:numFmt w:val="upperLetter"/>
      <w:lvlText w:val="%1."/>
      <w:lvlJc w:val="left"/>
      <w:pPr>
        <w:ind w:left="720" w:hanging="360"/>
      </w:pPr>
      <w:rPr>
        <w:rFonts w:hint="default"/>
        <w:b/>
        <w:i w:val="0"/>
        <w:sz w:val="22"/>
      </w:rPr>
    </w:lvl>
    <w:lvl w:ilvl="1" w:tplc="0409000F">
      <w:start w:val="1"/>
      <w:numFmt w:val="decimal"/>
      <w:lvlText w:val="%2."/>
      <w:lvlJc w:val="left"/>
      <w:pPr>
        <w:ind w:left="90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C68BA"/>
    <w:multiLevelType w:val="multilevel"/>
    <w:tmpl w:val="F8B00494"/>
    <w:lvl w:ilvl="0">
      <w:start w:val="1"/>
      <w:numFmt w:val="upperLetter"/>
      <w:lvlText w:val="%1."/>
      <w:lvlJc w:val="left"/>
      <w:pPr>
        <w:ind w:left="990" w:hanging="360"/>
      </w:pPr>
      <w:rPr>
        <w:rFonts w:ascii="Arial Bold" w:hAnsi="Arial Bold" w:hint="default"/>
        <w:b/>
        <w:i w:val="0"/>
        <w:sz w:val="20"/>
      </w:rPr>
    </w:lvl>
    <w:lvl w:ilvl="1">
      <w:start w:val="1"/>
      <w:numFmt w:val="decimal"/>
      <w:lvlText w:val="%1.%2"/>
      <w:lvlJc w:val="left"/>
      <w:pPr>
        <w:ind w:left="1710" w:hanging="360"/>
      </w:pPr>
      <w:rPr>
        <w:rFonts w:ascii="Arial Bold" w:hAnsi="Arial Bold" w:hint="default"/>
        <w:b/>
        <w:i w:val="0"/>
        <w:sz w:val="20"/>
      </w:rPr>
    </w:lvl>
    <w:lvl w:ilvl="2">
      <w:start w:val="1"/>
      <w:numFmt w:val="decimal"/>
      <w:lvlText w:val="%1.%2.%3"/>
      <w:lvlJc w:val="left"/>
      <w:pPr>
        <w:ind w:left="2430" w:hanging="180"/>
      </w:pPr>
      <w:rPr>
        <w:rFonts w:ascii="Arial Bold" w:hAnsi="Arial Bold" w:hint="default"/>
        <w:b/>
        <w:i w:val="0"/>
        <w:sz w:val="20"/>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7" w15:restartNumberingAfterBreak="0">
    <w:nsid w:val="4D9C13DA"/>
    <w:multiLevelType w:val="hybridMultilevel"/>
    <w:tmpl w:val="A10E1E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DBA1139"/>
    <w:multiLevelType w:val="hybridMultilevel"/>
    <w:tmpl w:val="2C702330"/>
    <w:lvl w:ilvl="0" w:tplc="12CEA4A0">
      <w:start w:val="1"/>
      <w:numFmt w:val="lowerRoman"/>
      <w:lvlText w:val="%1."/>
      <w:lvlJc w:val="right"/>
      <w:pPr>
        <w:ind w:left="2160" w:hanging="360"/>
      </w:pPr>
    </w:lvl>
    <w:lvl w:ilvl="1" w:tplc="42CE5F80">
      <w:start w:val="1"/>
      <w:numFmt w:val="lowerLetter"/>
      <w:lvlText w:val="%2."/>
      <w:lvlJc w:val="left"/>
      <w:pPr>
        <w:ind w:left="2880" w:hanging="360"/>
      </w:pPr>
      <w:rPr>
        <w:i w:val="0"/>
        <w:sz w:val="22"/>
        <w:szCs w:val="22"/>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E6673D7"/>
    <w:multiLevelType w:val="hybridMultilevel"/>
    <w:tmpl w:val="704A6438"/>
    <w:lvl w:ilvl="0" w:tplc="A888DBA2">
      <w:start w:val="1"/>
      <w:numFmt w:val="upperRoman"/>
      <w:lvlText w:val="%1."/>
      <w:lvlJc w:val="left"/>
      <w:pPr>
        <w:tabs>
          <w:tab w:val="num" w:pos="1080"/>
        </w:tabs>
        <w:ind w:left="1080" w:hanging="720"/>
      </w:pPr>
      <w:rPr>
        <w:rFonts w:hint="default"/>
        <w:b w:val="0"/>
        <w:u w:val="none"/>
      </w:rPr>
    </w:lvl>
    <w:lvl w:ilvl="1" w:tplc="4B161F34">
      <w:start w:val="1"/>
      <w:numFmt w:val="upp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B52B2F"/>
    <w:multiLevelType w:val="hybridMultilevel"/>
    <w:tmpl w:val="D5AA5F1A"/>
    <w:lvl w:ilvl="0" w:tplc="1DBE7C44">
      <w:start w:val="1"/>
      <w:numFmt w:val="upperLetter"/>
      <w:lvlText w:val="%1."/>
      <w:lvlJc w:val="left"/>
      <w:pPr>
        <w:ind w:left="720" w:hanging="360"/>
      </w:pPr>
      <w:rPr>
        <w:rFonts w:hint="default"/>
        <w:b/>
        <w:i w:val="0"/>
        <w:sz w:val="22"/>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B12F5"/>
    <w:multiLevelType w:val="hybridMultilevel"/>
    <w:tmpl w:val="BE1E1FB8"/>
    <w:lvl w:ilvl="0" w:tplc="3FDA1B46">
      <w:start w:val="2"/>
      <w:numFmt w:val="upperRoman"/>
      <w:lvlText w:val="%1."/>
      <w:lvlJc w:val="left"/>
      <w:pPr>
        <w:tabs>
          <w:tab w:val="num" w:pos="1080"/>
        </w:tabs>
        <w:ind w:left="1080" w:hanging="72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93D56"/>
    <w:multiLevelType w:val="hybridMultilevel"/>
    <w:tmpl w:val="A30A217A"/>
    <w:lvl w:ilvl="0" w:tplc="08061D62">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272CFB"/>
    <w:multiLevelType w:val="hybridMultilevel"/>
    <w:tmpl w:val="9C1A1082"/>
    <w:lvl w:ilvl="0" w:tplc="01F20DB2">
      <w:start w:val="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A0037"/>
    <w:multiLevelType w:val="hybridMultilevel"/>
    <w:tmpl w:val="C18491D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
  </w:num>
  <w:num w:numId="2">
    <w:abstractNumId w:val="5"/>
  </w:num>
  <w:num w:numId="3">
    <w:abstractNumId w:val="9"/>
  </w:num>
  <w:num w:numId="4">
    <w:abstractNumId w:val="11"/>
  </w:num>
  <w:num w:numId="5">
    <w:abstractNumId w:val="12"/>
  </w:num>
  <w:num w:numId="6">
    <w:abstractNumId w:val="13"/>
  </w:num>
  <w:num w:numId="7">
    <w:abstractNumId w:val="1"/>
  </w:num>
  <w:num w:numId="8">
    <w:abstractNumId w:val="8"/>
  </w:num>
  <w:num w:numId="9">
    <w:abstractNumId w:val="10"/>
  </w:num>
  <w:num w:numId="10">
    <w:abstractNumId w:val="7"/>
  </w:num>
  <w:num w:numId="11">
    <w:abstractNumId w:val="0"/>
  </w:num>
  <w:num w:numId="12">
    <w:abstractNumId w:val="14"/>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63"/>
    <w:rsid w:val="0005255A"/>
    <w:rsid w:val="000558D4"/>
    <w:rsid w:val="0006107A"/>
    <w:rsid w:val="000E1725"/>
    <w:rsid w:val="000F5B2B"/>
    <w:rsid w:val="00136628"/>
    <w:rsid w:val="00136728"/>
    <w:rsid w:val="001417E7"/>
    <w:rsid w:val="0015004B"/>
    <w:rsid w:val="0015273F"/>
    <w:rsid w:val="00156296"/>
    <w:rsid w:val="00180D1A"/>
    <w:rsid w:val="00190018"/>
    <w:rsid w:val="00192E88"/>
    <w:rsid w:val="001B3E99"/>
    <w:rsid w:val="001D0212"/>
    <w:rsid w:val="001E0DAB"/>
    <w:rsid w:val="001E57C2"/>
    <w:rsid w:val="001F756C"/>
    <w:rsid w:val="00206479"/>
    <w:rsid w:val="002120CB"/>
    <w:rsid w:val="00222062"/>
    <w:rsid w:val="002427F4"/>
    <w:rsid w:val="00266BD7"/>
    <w:rsid w:val="0027291D"/>
    <w:rsid w:val="0029549D"/>
    <w:rsid w:val="0029751B"/>
    <w:rsid w:val="002C5D58"/>
    <w:rsid w:val="003021F8"/>
    <w:rsid w:val="003161F6"/>
    <w:rsid w:val="0031663D"/>
    <w:rsid w:val="0034035D"/>
    <w:rsid w:val="0034262C"/>
    <w:rsid w:val="00394773"/>
    <w:rsid w:val="003A5740"/>
    <w:rsid w:val="003A6A57"/>
    <w:rsid w:val="003C16DF"/>
    <w:rsid w:val="003D3440"/>
    <w:rsid w:val="00401064"/>
    <w:rsid w:val="00405EBA"/>
    <w:rsid w:val="0040720E"/>
    <w:rsid w:val="00484739"/>
    <w:rsid w:val="004954AC"/>
    <w:rsid w:val="004C1518"/>
    <w:rsid w:val="004C3634"/>
    <w:rsid w:val="004E1823"/>
    <w:rsid w:val="004F0253"/>
    <w:rsid w:val="004F405D"/>
    <w:rsid w:val="0050094A"/>
    <w:rsid w:val="005075D0"/>
    <w:rsid w:val="00521B0F"/>
    <w:rsid w:val="0055196A"/>
    <w:rsid w:val="005547C1"/>
    <w:rsid w:val="00564135"/>
    <w:rsid w:val="00597AC5"/>
    <w:rsid w:val="005A0959"/>
    <w:rsid w:val="005B04B7"/>
    <w:rsid w:val="005C06E0"/>
    <w:rsid w:val="005E3FFE"/>
    <w:rsid w:val="00602E4A"/>
    <w:rsid w:val="0064300C"/>
    <w:rsid w:val="00645BAA"/>
    <w:rsid w:val="006A6435"/>
    <w:rsid w:val="006B1509"/>
    <w:rsid w:val="006B611C"/>
    <w:rsid w:val="006F11F5"/>
    <w:rsid w:val="00702929"/>
    <w:rsid w:val="0070735C"/>
    <w:rsid w:val="00707A82"/>
    <w:rsid w:val="0072395C"/>
    <w:rsid w:val="00773380"/>
    <w:rsid w:val="007B42F4"/>
    <w:rsid w:val="007B453B"/>
    <w:rsid w:val="007E4C48"/>
    <w:rsid w:val="0081020B"/>
    <w:rsid w:val="00857ED1"/>
    <w:rsid w:val="00876E8C"/>
    <w:rsid w:val="00877CA3"/>
    <w:rsid w:val="008C1BA8"/>
    <w:rsid w:val="008E6319"/>
    <w:rsid w:val="00910369"/>
    <w:rsid w:val="00914431"/>
    <w:rsid w:val="00934A59"/>
    <w:rsid w:val="00936E39"/>
    <w:rsid w:val="00937C72"/>
    <w:rsid w:val="00954A46"/>
    <w:rsid w:val="00983CB8"/>
    <w:rsid w:val="009862F7"/>
    <w:rsid w:val="009B0295"/>
    <w:rsid w:val="009B2012"/>
    <w:rsid w:val="009D5E53"/>
    <w:rsid w:val="00A01652"/>
    <w:rsid w:val="00A46C99"/>
    <w:rsid w:val="00A64D63"/>
    <w:rsid w:val="00A656E8"/>
    <w:rsid w:val="00A80746"/>
    <w:rsid w:val="00A9549F"/>
    <w:rsid w:val="00AA2FF5"/>
    <w:rsid w:val="00AC5B91"/>
    <w:rsid w:val="00AD2973"/>
    <w:rsid w:val="00AD2E7F"/>
    <w:rsid w:val="00AD5235"/>
    <w:rsid w:val="00AE734C"/>
    <w:rsid w:val="00B22CF7"/>
    <w:rsid w:val="00B33EC1"/>
    <w:rsid w:val="00B50A2E"/>
    <w:rsid w:val="00B81BC0"/>
    <w:rsid w:val="00BA594D"/>
    <w:rsid w:val="00C118E8"/>
    <w:rsid w:val="00C33BD2"/>
    <w:rsid w:val="00C53C5A"/>
    <w:rsid w:val="00C57909"/>
    <w:rsid w:val="00C72F96"/>
    <w:rsid w:val="00C8797F"/>
    <w:rsid w:val="00C87C07"/>
    <w:rsid w:val="00CA3C76"/>
    <w:rsid w:val="00CC161E"/>
    <w:rsid w:val="00CC3B4C"/>
    <w:rsid w:val="00CE76B3"/>
    <w:rsid w:val="00CF0D3B"/>
    <w:rsid w:val="00CF663E"/>
    <w:rsid w:val="00D13373"/>
    <w:rsid w:val="00D23389"/>
    <w:rsid w:val="00D23679"/>
    <w:rsid w:val="00D44D06"/>
    <w:rsid w:val="00D74F94"/>
    <w:rsid w:val="00D763E5"/>
    <w:rsid w:val="00D85088"/>
    <w:rsid w:val="00D96A27"/>
    <w:rsid w:val="00DB3179"/>
    <w:rsid w:val="00DD53DE"/>
    <w:rsid w:val="00DE5DA6"/>
    <w:rsid w:val="00DF334B"/>
    <w:rsid w:val="00DF5646"/>
    <w:rsid w:val="00E04E0D"/>
    <w:rsid w:val="00E12121"/>
    <w:rsid w:val="00E17F38"/>
    <w:rsid w:val="00E257F0"/>
    <w:rsid w:val="00EC24C1"/>
    <w:rsid w:val="00EE0CDC"/>
    <w:rsid w:val="00EF10B4"/>
    <w:rsid w:val="00F55FAB"/>
    <w:rsid w:val="00F667D3"/>
    <w:rsid w:val="00F8081A"/>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9738"/>
  <w15:docId w15:val="{2329B30A-FAE7-47E3-BD43-BF205E34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6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4D63"/>
    <w:pPr>
      <w:keepNext/>
      <w:spacing w:before="40"/>
      <w:jc w:val="center"/>
      <w:outlineLvl w:val="0"/>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D63"/>
    <w:rPr>
      <w:rFonts w:ascii="Arial" w:eastAsia="Times New Roman" w:hAnsi="Arial" w:cs="Times New Roman"/>
      <w:b/>
      <w:bCs/>
      <w:sz w:val="28"/>
      <w:szCs w:val="20"/>
      <w:lang w:val="x-none" w:eastAsia="x-none"/>
    </w:rPr>
  </w:style>
  <w:style w:type="paragraph" w:styleId="BodyText">
    <w:name w:val="Body Text"/>
    <w:basedOn w:val="Normal"/>
    <w:link w:val="BodyTextChar"/>
    <w:rsid w:val="00A64D63"/>
    <w:pPr>
      <w:spacing w:after="120"/>
    </w:pPr>
    <w:rPr>
      <w:sz w:val="20"/>
      <w:lang w:val="x-none" w:eastAsia="x-none"/>
    </w:rPr>
  </w:style>
  <w:style w:type="character" w:customStyle="1" w:styleId="BodyTextChar">
    <w:name w:val="Body Text Char"/>
    <w:basedOn w:val="DefaultParagraphFont"/>
    <w:link w:val="BodyText"/>
    <w:rsid w:val="00A64D63"/>
    <w:rPr>
      <w:rFonts w:ascii="Arial" w:eastAsia="Times New Roman" w:hAnsi="Arial" w:cs="Times New Roman"/>
      <w:sz w:val="20"/>
      <w:szCs w:val="20"/>
      <w:lang w:val="x-none" w:eastAsia="x-none"/>
    </w:rPr>
  </w:style>
  <w:style w:type="paragraph" w:styleId="ListParagraph">
    <w:name w:val="List Paragraph"/>
    <w:basedOn w:val="Normal"/>
    <w:uiPriority w:val="99"/>
    <w:qFormat/>
    <w:rsid w:val="00A64D63"/>
    <w:pPr>
      <w:ind w:left="720"/>
      <w:contextualSpacing/>
    </w:pPr>
  </w:style>
  <w:style w:type="paragraph" w:styleId="Header">
    <w:name w:val="header"/>
    <w:basedOn w:val="Normal"/>
    <w:link w:val="HeaderChar"/>
    <w:uiPriority w:val="99"/>
    <w:rsid w:val="00A64D63"/>
    <w:pPr>
      <w:tabs>
        <w:tab w:val="center" w:pos="4320"/>
        <w:tab w:val="right" w:pos="8640"/>
      </w:tabs>
    </w:pPr>
    <w:rPr>
      <w:sz w:val="20"/>
      <w:lang w:val="x-none" w:eastAsia="x-none"/>
    </w:rPr>
  </w:style>
  <w:style w:type="character" w:customStyle="1" w:styleId="HeaderChar">
    <w:name w:val="Header Char"/>
    <w:basedOn w:val="DefaultParagraphFont"/>
    <w:link w:val="Header"/>
    <w:uiPriority w:val="99"/>
    <w:rsid w:val="00A64D63"/>
    <w:rPr>
      <w:rFonts w:ascii="Arial" w:eastAsia="Times New Roman" w:hAnsi="Arial" w:cs="Times New Roman"/>
      <w:sz w:val="20"/>
      <w:szCs w:val="20"/>
      <w:lang w:val="x-none" w:eastAsia="x-none"/>
    </w:rPr>
  </w:style>
  <w:style w:type="paragraph" w:styleId="Footer">
    <w:name w:val="footer"/>
    <w:basedOn w:val="Normal"/>
    <w:link w:val="FooterChar"/>
    <w:uiPriority w:val="99"/>
    <w:rsid w:val="00A64D63"/>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A64D63"/>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D85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3679"/>
    <w:rPr>
      <w:sz w:val="16"/>
      <w:szCs w:val="16"/>
    </w:rPr>
  </w:style>
  <w:style w:type="paragraph" w:styleId="CommentText">
    <w:name w:val="annotation text"/>
    <w:basedOn w:val="Normal"/>
    <w:link w:val="CommentTextChar"/>
    <w:uiPriority w:val="99"/>
    <w:semiHidden/>
    <w:unhideWhenUsed/>
    <w:rsid w:val="00D23679"/>
    <w:rPr>
      <w:sz w:val="20"/>
    </w:rPr>
  </w:style>
  <w:style w:type="character" w:customStyle="1" w:styleId="CommentTextChar">
    <w:name w:val="Comment Text Char"/>
    <w:basedOn w:val="DefaultParagraphFont"/>
    <w:link w:val="CommentText"/>
    <w:uiPriority w:val="99"/>
    <w:semiHidden/>
    <w:rsid w:val="00D236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3679"/>
    <w:rPr>
      <w:b/>
      <w:bCs/>
    </w:rPr>
  </w:style>
  <w:style w:type="character" w:customStyle="1" w:styleId="CommentSubjectChar">
    <w:name w:val="Comment Subject Char"/>
    <w:basedOn w:val="CommentTextChar"/>
    <w:link w:val="CommentSubject"/>
    <w:uiPriority w:val="99"/>
    <w:semiHidden/>
    <w:rsid w:val="00D23679"/>
    <w:rPr>
      <w:rFonts w:ascii="Arial" w:eastAsia="Times New Roman" w:hAnsi="Arial" w:cs="Times New Roman"/>
      <w:b/>
      <w:bCs/>
      <w:sz w:val="20"/>
      <w:szCs w:val="20"/>
    </w:rPr>
  </w:style>
  <w:style w:type="paragraph" w:styleId="Revision">
    <w:name w:val="Revision"/>
    <w:hidden/>
    <w:uiPriority w:val="99"/>
    <w:semiHidden/>
    <w:rsid w:val="0040720E"/>
    <w:pPr>
      <w:spacing w:after="0" w:line="240" w:lineRule="auto"/>
    </w:pPr>
    <w:rPr>
      <w:rFonts w:ascii="Arial" w:eastAsia="Times New Roman" w:hAnsi="Arial" w:cs="Times New Roman"/>
      <w:szCs w:val="20"/>
    </w:rPr>
  </w:style>
  <w:style w:type="paragraph" w:customStyle="1" w:styleId="10sp0">
    <w:name w:val="_1.0sp 0&quot;"/>
    <w:basedOn w:val="Normal"/>
    <w:link w:val="10sp0Char"/>
    <w:rsid w:val="00AD2E7F"/>
    <w:pPr>
      <w:suppressAutoHyphens/>
      <w:spacing w:after="240"/>
      <w:jc w:val="both"/>
    </w:pPr>
    <w:rPr>
      <w:rFonts w:ascii="Arial Narrow" w:eastAsia="SimSun" w:hAnsi="Arial Narrow" w:cs="Arial"/>
    </w:rPr>
  </w:style>
  <w:style w:type="character" w:customStyle="1" w:styleId="10sp0Char">
    <w:name w:val="_1.0sp 0&quot; Char"/>
    <w:link w:val="10sp0"/>
    <w:rsid w:val="00AD2E7F"/>
    <w:rPr>
      <w:rFonts w:ascii="Arial Narrow" w:eastAsia="SimSun" w:hAnsi="Arial Narrow" w:cs="Arial"/>
      <w:szCs w:val="20"/>
    </w:rPr>
  </w:style>
  <w:style w:type="paragraph" w:customStyle="1" w:styleId="CM6">
    <w:name w:val="CM6"/>
    <w:basedOn w:val="Normal"/>
    <w:next w:val="Normal"/>
    <w:rsid w:val="009D5E53"/>
    <w:pPr>
      <w:widowControl w:val="0"/>
      <w:autoSpaceDE w:val="0"/>
      <w:autoSpaceDN w:val="0"/>
      <w:adjustRightInd w:val="0"/>
      <w:spacing w:line="243" w:lineRule="atLeast"/>
    </w:pPr>
    <w:rPr>
      <w:sz w:val="24"/>
      <w:szCs w:val="24"/>
    </w:rPr>
  </w:style>
  <w:style w:type="paragraph" w:styleId="TOC9">
    <w:name w:val="toc 9"/>
    <w:basedOn w:val="Normal"/>
    <w:next w:val="Normal"/>
    <w:autoRedefine/>
    <w:semiHidden/>
    <w:rsid w:val="008C1BA8"/>
    <w:pPr>
      <w:ind w:left="160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5493-DB3B-4A52-99CF-8FEA5711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 Kristina</dc:creator>
  <cp:lastModifiedBy>Phan, Charles</cp:lastModifiedBy>
  <cp:revision>5</cp:revision>
  <cp:lastPrinted>2019-03-13T23:39:00Z</cp:lastPrinted>
  <dcterms:created xsi:type="dcterms:W3CDTF">2022-07-29T15:40:00Z</dcterms:created>
  <dcterms:modified xsi:type="dcterms:W3CDTF">2022-08-17T21:22:00Z</dcterms:modified>
</cp:coreProperties>
</file>